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p>
    <w:p>
      <w:pPr>
        <w:spacing w:before="60" w:after="60"/>
      </w:pPr>
    </w:p>
    <w:p>
      <w:pPr>
        <w:spacing w:before="480" w:after="160"/>
        <w:jc w:val="center"/>
      </w:pPr>
      <w:r>
        <w:rPr>
          <w:rFonts w:ascii="Arial" w:cs="Arial" w:eastAsia="Arial" w:hAnsi="Arial"/>
          <w:b/>
          <w:bCs/>
          <w:color w:val="1F4E79"/>
          <w:sz w:val="52"/>
          <w:szCs w:val="52"/>
        </w:rPr>
        <w:t xml:space="preserve">SALESFORCE B2B PORTAL</w:t>
      </w:r>
    </w:p>
    <w:p>
      <w:pPr>
        <w:spacing w:before="0" w:after="200"/>
        <w:jc w:val="center"/>
      </w:pPr>
      <w:r>
        <w:rPr>
          <w:rFonts w:ascii="Arial" w:cs="Arial" w:eastAsia="Arial" w:hAnsi="Arial"/>
          <w:b/>
          <w:bCs/>
          <w:color w:val="1F4E79"/>
          <w:sz w:val="40"/>
          <w:szCs w:val="40"/>
        </w:rPr>
        <w:t xml:space="preserve">RELATIONSHIP MANAGEMENT SYSTEM</w:t>
      </w:r>
    </w:p>
    <w:p>
      <w:pPr>
        <w:spacing w:before="120" w:after="120"/>
        <w:jc w:val="center"/>
      </w:pPr>
      <w:r>
        <w:rPr>
          <w:rFonts w:ascii="Arial" w:cs="Arial" w:eastAsia="Arial" w:hAnsi="Arial"/>
          <w:b/>
          <w:bCs/>
          <w:color w:val="2E75B6"/>
          <w:sz w:val="36"/>
          <w:szCs w:val="36"/>
        </w:rPr>
        <w:t xml:space="preserve">Solution Design Document</w:t>
      </w:r>
    </w:p>
    <w:p>
      <w:pPr>
        <w:spacing w:before="60" w:after="300"/>
        <w:jc w:val="center"/>
      </w:pPr>
      <w:r>
        <w:rPr>
          <w:rFonts w:ascii="Arial" w:cs="Arial" w:eastAsia="Arial" w:hAnsi="Arial"/>
          <w:i/>
          <w:iCs/>
          <w:color w:val="444444"/>
          <w:sz w:val="24"/>
          <w:szCs w:val="24"/>
        </w:rPr>
        <w:t xml:space="preserve">Salesforce Developer Edition Implementation  |  Based on Use Case Document v1.0</w:t>
      </w:r>
    </w:p>
    <w:p>
      <w:pPr>
        <w:pBdr>
          <w:bottom w:val="single" w:color="2E75B6" w:sz="4" w:space="1"/>
        </w:pBdr>
        <w:spacing w:before="40" w:after="40"/>
      </w:pPr>
    </w:p>
    <w:p>
      <w:pPr>
        <w:spacing w:before="200" w:after="80"/>
        <w:jc w:val="center"/>
      </w:pPr>
      <w:r>
        <w:rPr>
          <w:rFonts w:ascii="Arial" w:cs="Arial" w:eastAsia="Arial" w:hAnsi="Arial"/>
          <w:color w:val="555555"/>
          <w:sz w:val="22"/>
          <w:szCs w:val="22"/>
        </w:rPr>
        <w:t xml:space="preserve">Version 1.0  |  Platform: Salesforce Developer Edition (Free Org)</w:t>
      </w:r>
    </w:p>
    <w:p>
      <w:pPr>
        <w:spacing w:before="40" w:after="80"/>
        <w:jc w:val="center"/>
      </w:pPr>
      <w:r>
        <w:rPr>
          <w:rFonts w:ascii="Arial" w:cs="Arial" w:eastAsia="Arial" w:hAnsi="Arial"/>
          <w:b/>
          <w:bCs/>
          <w:color w:val="2E75B6"/>
          <w:sz w:val="22"/>
          <w:szCs w:val="22"/>
        </w:rPr>
        <w:t xml:space="preserve">Personas in Scope: Fundraising Manager  |  Relationship Researcher</w:t>
      </w:r>
    </w:p>
    <w:p>
      <w:pPr>
        <w:spacing w:before="60" w:after="60"/>
      </w:pPr>
    </w:p>
    <w:p>
      <w:pPr>
        <w:spacing w:before="60" w:after="60"/>
      </w:pPr>
    </w:p>
    <w:p>
      <w:pPr>
        <w:spacing w:before="60" w:after="60"/>
      </w:pPr>
    </w:p>
    <w:p>
      <w:r>
        <w:br w:type="page"/>
      </w:r>
    </w:p>
    <w:p>
      <w:pPr>
        <w:pStyle w:val="Heading1"/>
        <w:spacing w:before="360" w:after="120"/>
      </w:pPr>
      <w:r>
        <w:rPr>
          <w:rFonts w:ascii="Arial" w:cs="Arial" w:eastAsia="Arial" w:hAnsi="Arial"/>
          <w:b/>
          <w:bCs/>
          <w:color w:val="1F4E79"/>
          <w:sz w:val="32"/>
          <w:szCs w:val="32"/>
        </w:rPr>
        <w:t xml:space="preserve">1. Document Purpose &amp; Scope</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This Solution Design Document (SDD) translates the business requirements set out in the B2B Portal Use Case Document (v1.0) into a detailed technical specification for implementation in a Salesforce Developer Edition org. It defines the data model, configuration decisions, automation design, security model, and reporting approach that together deliver the B2B Relationship Management System.</w:t>
      </w:r>
    </w:p>
    <w:p>
      <w:pPr>
        <w:spacing w:before="60" w:after="60"/>
      </w:pPr>
    </w:p>
    <w:p>
      <w:pPr>
        <w:spacing w:before="60" w:after="100"/>
      </w:pPr>
      <w:r>
        <w:rPr>
          <w:rFonts w:ascii="Arial" w:cs="Arial" w:eastAsia="Arial" w:hAnsi="Arial"/>
          <w:sz w:val="22"/>
          <w:szCs w:val="22"/>
        </w:rPr>
        <w:t xml:space="preserve">The design prioritises standard Salesforce objects wherever the platform meets the requirement. Custom objects are introduced only where no standard object adequately serves the business need. Every design decision in this document includes a clear rationale explaining why that approach was chosen, to support stakeholder conversations and interview preparation.</w:t>
      </w:r>
    </w:p>
    <w:p>
      <w:pPr>
        <w:spacing w:before="60" w:after="60"/>
      </w:pPr>
    </w:p>
    <w:p>
      <w:pPr>
        <w:pStyle w:val="Heading2"/>
        <w:spacing w:before="280" w:after="100"/>
      </w:pPr>
      <w:r>
        <w:rPr>
          <w:rFonts w:ascii="Arial" w:cs="Arial" w:eastAsia="Arial" w:hAnsi="Arial"/>
          <w:b/>
          <w:bCs/>
          <w:color w:val="2E75B6"/>
          <w:sz w:val="26"/>
          <w:szCs w:val="26"/>
        </w:rPr>
        <w:t xml:space="preserve">1.1 Personas in Scope</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Persona</w:t>
            </w:r>
          </w:p>
        </w:tc>
        <w:tc>
          <w:tcPr>
            <w:tcW w:type="dxa" w:w="6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They Need This System to Do</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Fundraising Manager</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Record and track grant and funding opportunities against partner organisations. Monitor the pipeline from identification to award. See approaching deadlines. Report on funding in real time.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 Researcher</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Create and maintain organisation records. Map political and officer structures. Record contacts, initiatives, and geographic priorities. Keep interaction history current across the network.</w:t>
            </w:r>
          </w:p>
        </w:tc>
      </w:tr>
    </w:tbl>
    <w:p>
      <w:pPr>
        <w:spacing w:before="60" w:after="60"/>
      </w:pPr>
    </w:p>
    <w:p>
      <w:pPr>
        <w:pStyle w:val="Heading2"/>
        <w:spacing w:before="280" w:after="100"/>
      </w:pPr>
      <w:r>
        <w:rPr>
          <w:rFonts w:ascii="Arial" w:cs="Arial" w:eastAsia="Arial" w:hAnsi="Arial"/>
          <w:b/>
          <w:bCs/>
          <w:color w:val="2E75B6"/>
          <w:sz w:val="26"/>
          <w:szCs w:val="26"/>
        </w:rPr>
        <w:t xml:space="preserve">1.2 Design Principles</w:t>
      </w:r>
    </w:p>
    <w:p>
      <w:pPr>
        <w:pStyle w:val="ListParagraph"/>
        <w:numPr>
          <w:ilvl w:val="0"/>
          <w:numId w:val="2"/>
        </w:numPr>
        <w:spacing w:before="40" w:after="40"/>
      </w:pPr>
      <w:r>
        <w:rPr>
          <w:rFonts w:ascii="Arial" w:cs="Arial" w:eastAsia="Arial" w:hAnsi="Arial"/>
          <w:sz w:val="22"/>
          <w:szCs w:val="22"/>
        </w:rPr>
        <w:t xml:space="preserve">Standard Salesforce objects first — avoid custom objects unless no standard object fits the requirement</w:t>
      </w:r>
    </w:p>
    <w:p>
      <w:pPr>
        <w:pStyle w:val="ListParagraph"/>
        <w:numPr>
          <w:ilvl w:val="0"/>
          <w:numId w:val="2"/>
        </w:numPr>
        <w:spacing w:before="40" w:after="40"/>
      </w:pPr>
      <w:r>
        <w:rPr>
          <w:rFonts w:ascii="Arial" w:cs="Arial" w:eastAsia="Arial" w:hAnsi="Arial"/>
          <w:sz w:val="22"/>
          <w:szCs w:val="22"/>
        </w:rPr>
        <w:t xml:space="preserve">Every design decision is explained, not just stated — this document supports both build and interview preparation</w:t>
      </w:r>
    </w:p>
    <w:p>
      <w:pPr>
        <w:pStyle w:val="ListParagraph"/>
        <w:numPr>
          <w:ilvl w:val="0"/>
          <w:numId w:val="2"/>
        </w:numPr>
        <w:spacing w:before="40" w:after="40"/>
      </w:pPr>
      <w:r>
        <w:rPr>
          <w:rFonts w:ascii="Arial" w:cs="Arial" w:eastAsia="Arial" w:hAnsi="Arial"/>
          <w:sz w:val="22"/>
          <w:szCs w:val="22"/>
        </w:rPr>
        <w:t xml:space="preserve">All automation is built in Salesforce Flow Builder — no legacy Workflow Rules or Process Builder</w:t>
      </w:r>
    </w:p>
    <w:p>
      <w:pPr>
        <w:pStyle w:val="ListParagraph"/>
        <w:numPr>
          <w:ilvl w:val="0"/>
          <w:numId w:val="2"/>
        </w:numPr>
        <w:spacing w:before="40" w:after="40"/>
      </w:pPr>
      <w:r>
        <w:rPr>
          <w:rFonts w:ascii="Arial" w:cs="Arial" w:eastAsia="Arial" w:hAnsi="Arial"/>
          <w:sz w:val="22"/>
          <w:szCs w:val="22"/>
        </w:rPr>
        <w:t xml:space="preserve">The solution must be fully buildable and demonstrable in a Salesforce Developer Edition org</w:t>
      </w:r>
    </w:p>
    <w:p>
      <w:pPr>
        <w:pStyle w:val="ListParagraph"/>
        <w:numPr>
          <w:ilvl w:val="0"/>
          <w:numId w:val="2"/>
        </w:numPr>
        <w:spacing w:before="40" w:after="40"/>
      </w:pPr>
      <w:r>
        <w:rPr>
          <w:rFonts w:ascii="Arial" w:cs="Arial" w:eastAsia="Arial" w:hAnsi="Arial"/>
          <w:sz w:val="22"/>
          <w:szCs w:val="22"/>
        </w:rPr>
        <w:t xml:space="preserve">Validation Rules enforce data quality at the database level, not just the page layout</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built this solution in a free Salesforce Developer Edition org to demonstrate a complete, production-quality CRM implementation without needing a paid licence. The Developer Edition supports all core platform features required — custom objects, Flow, Reports, Dashboards, Validation Rules, and Page Layouts.</w:t>
      </w:r>
    </w:p>
    <w:p>
      <w:r>
        <w:br w:type="page"/>
      </w:r>
    </w:p>
    <w:p>
      <w:pPr>
        <w:pStyle w:val="Heading1"/>
        <w:spacing w:before="360" w:after="120"/>
      </w:pPr>
      <w:r>
        <w:rPr>
          <w:rFonts w:ascii="Arial" w:cs="Arial" w:eastAsia="Arial" w:hAnsi="Arial"/>
          <w:b/>
          <w:bCs/>
          <w:color w:val="1F4E79"/>
          <w:sz w:val="32"/>
          <w:szCs w:val="32"/>
        </w:rPr>
        <w:t xml:space="preserve">2. Data Model Design</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data model defines which Salesforce objects hold which information and how they relate to each other. The guiding principle throughout is: use a standard object if it fits, and only create a custom object when no standard object meets the requirement.</w:t>
      </w:r>
    </w:p>
    <w:p>
      <w:pPr>
        <w:spacing w:before="60" w:after="60"/>
      </w:pPr>
    </w:p>
    <w:p>
      <w:pPr>
        <w:pStyle w:val="Heading2"/>
        <w:spacing w:before="280" w:after="100"/>
      </w:pPr>
      <w:r>
        <w:rPr>
          <w:rFonts w:ascii="Arial" w:cs="Arial" w:eastAsia="Arial" w:hAnsi="Arial"/>
          <w:b/>
          <w:bCs/>
          <w:color w:val="2E75B6"/>
          <w:sz w:val="26"/>
          <w:szCs w:val="26"/>
        </w:rPr>
        <w:t xml:space="preserve">2.1 Object Overview</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54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Object</w:t>
            </w:r>
          </w:p>
        </w:tc>
        <w:tc>
          <w:tcPr>
            <w:tcW w:type="dxa" w:w="1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Standard or Custom</w:t>
            </w:r>
          </w:p>
        </w:tc>
        <w:tc>
          <w:tcPr>
            <w:tcW w:type="dxa" w:w="5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Role in This Design</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Standard</w:t>
            </w:r>
          </w:p>
        </w:tc>
        <w:tc>
          <w:tcPr>
            <w:tcW w:type="dxa" w:w="5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Central record for every partner organisation — councils, housing associations, charities, grant providers. Parent of all Contacts, Opportunities, Tasks, and Initiative records.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Standard</w:t>
            </w:r>
          </w:p>
        </w:tc>
        <w:tc>
          <w:tcPr>
            <w:tcW w:type="dxa" w:w="5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Individual people within partner organisations — grant officers, portfolio holders, referral contacts. Linked to their Account.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Standard</w:t>
            </w:r>
          </w:p>
        </w:tc>
        <w:tc>
          <w:tcPr>
            <w:tcW w:type="dxa" w:w="5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Repurposed to track grant and funding opportunities. Stage, Close Date, and Amount map naturally onto the grant pipeline requirement.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Task</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Standard</w:t>
            </w:r>
          </w:p>
        </w:tc>
        <w:tc>
          <w:tcPr>
            <w:tcW w:type="dxa" w:w="5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Logs completed interactions (calls, meetings, emails) and creates future follow-up reminders. Links natively to both Contact and Account.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Initiative__c</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Custom</w:t>
            </w:r>
          </w:p>
        </w:tc>
        <w:tc>
          <w:tcPr>
            <w:tcW w:type="dxa" w:w="5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Records planned initiatives from partner organisations. No standard object fits this requirement. Master-Detail relationship to Account.</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deliberately kept custom objects to a minimum — only one is introduced in this entire design. Every other requirement is met by configuring standard objects. I made this decision because it reduces build complexity, makes the org easier to maintain, and demonstrates that I understand the platform well enough to know when NOT to build custom.</w:t>
      </w:r>
    </w:p>
    <w:p>
      <w:pPr>
        <w:spacing w:before="60" w:after="60"/>
      </w:pPr>
    </w:p>
    <w:p>
      <w:pPr>
        <w:pStyle w:val="Heading2"/>
        <w:spacing w:before="280" w:after="100"/>
      </w:pPr>
      <w:r>
        <w:rPr>
          <w:rFonts w:ascii="Arial" w:cs="Arial" w:eastAsia="Arial" w:hAnsi="Arial"/>
          <w:b/>
          <w:bCs/>
          <w:color w:val="2E75B6"/>
          <w:sz w:val="26"/>
          <w:szCs w:val="26"/>
        </w:rPr>
        <w:t xml:space="preserve">2.2 Account — Organisation Records</w:t>
      </w:r>
    </w:p>
    <w:p>
      <w:pPr>
        <w:spacing w:before="60" w:after="100"/>
      </w:pPr>
      <w:r>
        <w:rPr>
          <w:rFonts w:ascii="Arial" w:cs="Arial" w:eastAsia="Arial" w:hAnsi="Arial"/>
          <w:sz w:val="22"/>
          <w:szCs w:val="22"/>
        </w:rPr>
        <w:t xml:space="preserve">The Account object is the central record for every partner organisation. It is the natural choice because it is designed in Salesforce to represent a company or body — it comes with address fields, phone, website, a built-in parent-child hierarchy, and related lists for Contacts, Opportunities, and Activities already wired in.</w:t>
      </w:r>
    </w:p>
    <w:p>
      <w:pPr>
        <w:spacing w:before="60" w:after="60"/>
      </w:pPr>
    </w:p>
    <w:p>
      <w:pPr>
        <w:spacing w:before="200" w:after="80"/>
      </w:pPr>
      <w:r>
        <w:rPr>
          <w:rFonts w:ascii="Arial" w:cs="Arial" w:eastAsia="Arial" w:hAnsi="Arial"/>
          <w:b/>
          <w:bCs/>
          <w:color w:val="1F4E79"/>
          <w:sz w:val="22"/>
          <w:szCs w:val="22"/>
        </w:rPr>
        <w:t xml:space="preserve">Parent-Child Account Hierarchy for Large Organisations</w:t>
      </w:r>
    </w:p>
    <w:p>
      <w:pPr>
        <w:spacing w:before="60" w:after="100"/>
      </w:pPr>
      <w:r>
        <w:rPr>
          <w:rFonts w:ascii="Arial" w:cs="Arial" w:eastAsia="Arial" w:hAnsi="Arial"/>
          <w:sz w:val="22"/>
          <w:szCs w:val="22"/>
        </w:rPr>
        <w:t xml:space="preserve">For complex organisations such as a District Council, Salesforce's built-in Parent Account field is used to model departments underneath the main council record. The top-level Account represents the council as a whole; child Account records represent individual departments. This uses no custom fields and requires no additional build.</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chose Account hierarchy over a custom Department object because Account hierarchy is a native Salesforce feature that requires zero build. It gives a navigable hierarchy view, works with all standard reports, and is exactly what the feature was designed for. Building a custom Department object would have meant recreating all of that from scratch.</w:t>
      </w:r>
    </w:p>
    <w:p>
      <w:pPr>
        <w:spacing w:before="60" w:after="60"/>
      </w:pPr>
    </w:p>
    <w:p>
      <w:pPr>
        <w:spacing w:before="200" w:after="80"/>
      </w:pPr>
      <w:r>
        <w:rPr>
          <w:rFonts w:ascii="Arial" w:cs="Arial" w:eastAsia="Arial" w:hAnsi="Arial"/>
          <w:b/>
          <w:bCs/>
          <w:color w:val="1F4E79"/>
          <w:sz w:val="22"/>
          <w:szCs w:val="22"/>
        </w:rPr>
        <w:t xml:space="preserve">Custom Fields Added to Account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330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Label</w:t>
            </w:r>
          </w:p>
        </w:tc>
        <w:tc>
          <w:tcPr>
            <w:tcW w:type="dxa" w:w="17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API Name</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Type</w:t>
            </w:r>
          </w:p>
        </w:tc>
        <w:tc>
          <w:tcPr>
            <w:tcW w:type="dxa" w:w="33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Why This Type Was Chosen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Relationship Type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Relationship_Type__c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 controlled list (Grant Provider, Housing Organisation, Referral Agent, Public Sector, Local Charity, National Charity, Sponsor, Commercial Organisation) ensures consistency for filtering and reporting. Free text would make grouping unreliable.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Organisation Size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Organisation_Size__c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Large / Medium / Small. Drives the record type selection and helps the team set expectations on record depth.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Geographic Scope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Geographic_Scope__c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Describes which communities or areas the organisation operates in. Text Area rather than a lookup because scope is descriptive, not a controlled list.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 Structure Notes</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Political_Structure_Notes__c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Long Text Area</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Captures elected portfolio holders and their priorities. Long Text Area allows the free-form depth needed for a complex council record.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Officer Structure Notes</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Officer_Structure_Notes__c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Long Text Area</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Captures responsible officers and reporting lines. Same reasoning — narrative detail is more valuable here than rigid structured fields.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Last Reviewed 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Last_Reviewed_Date__c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Records when the record was last meaningfully updated. A Date field enables date-based filtering in reports (e.g. not reviewed in 90 days).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Last Interaction Date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Last_Interaction_Date__c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Records when this organisation was last engaged. Updated automatically by a Flow when a Task is marked complete. Distinct from Last Reviewed Date.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 Summary</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Relationship_Summary__c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Long Text Area</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 narrative description of the overall relationship. Provides context that structured fields cannot — important for meeting preparation.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Departments With Relationship</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Depts_With_Relationship__c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Lists departments within the organisation that have an active relationship with the charity.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Departments To Target</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Depts_To_Target__c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Lists departments that should be engaged but are not yet. A prompt for proactive outreach planning.</w:t>
            </w:r>
          </w:p>
        </w:tc>
      </w:tr>
    </w:tbl>
    <w:p>
      <w:pPr>
        <w:spacing w:before="60" w:after="60"/>
      </w:pPr>
    </w:p>
    <w:p>
      <w:pPr>
        <w:pStyle w:val="Heading2"/>
        <w:spacing w:before="280" w:after="100"/>
      </w:pPr>
      <w:r>
        <w:rPr>
          <w:rFonts w:ascii="Arial" w:cs="Arial" w:eastAsia="Arial" w:hAnsi="Arial"/>
          <w:b/>
          <w:bCs/>
          <w:color w:val="2E75B6"/>
          <w:sz w:val="26"/>
          <w:szCs w:val="26"/>
        </w:rPr>
        <w:t xml:space="preserve">2.3 Contact — Individual People</w:t>
      </w:r>
    </w:p>
    <w:p>
      <w:pPr>
        <w:spacing w:before="60" w:after="100"/>
      </w:pPr>
      <w:r>
        <w:rPr>
          <w:rFonts w:ascii="Arial" w:cs="Arial" w:eastAsia="Arial" w:hAnsi="Arial"/>
          <w:sz w:val="22"/>
          <w:szCs w:val="22"/>
        </w:rPr>
        <w:t xml:space="preserve">The Contact object records individual people within partner organisations. Every Contact is linked to an Account via the standard Account Name lookup. Contacts are also linked to Opportunities through the built-in Contact Roles feature, which is how the Fundraising Manager associates a grant officer with a grant opportunity.</w:t>
      </w:r>
    </w:p>
    <w:p>
      <w:pPr>
        <w:spacing w:before="60" w:after="60"/>
      </w:pPr>
    </w:p>
    <w:p>
      <w:pPr>
        <w:spacing w:before="200" w:after="80"/>
      </w:pPr>
      <w:r>
        <w:rPr>
          <w:rFonts w:ascii="Arial" w:cs="Arial" w:eastAsia="Arial" w:hAnsi="Arial"/>
          <w:b/>
          <w:bCs/>
          <w:color w:val="1F4E79"/>
          <w:sz w:val="22"/>
          <w:szCs w:val="22"/>
        </w:rPr>
        <w:t xml:space="preserve">Custom Fields Added to Contact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330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Label</w:t>
            </w:r>
          </w:p>
        </w:tc>
        <w:tc>
          <w:tcPr>
            <w:tcW w:type="dxa" w:w="17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API Name</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Type</w:t>
            </w:r>
          </w:p>
        </w:tc>
        <w:tc>
          <w:tcPr>
            <w:tcW w:type="dxa" w:w="33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Why This Type Was Chosen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Role / Responsibility</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Role_Responsibility__c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Captures what this person is responsible for. More descriptive than the standard Title field, which suits a job title but not a functional responsibility.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Seniority Level</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Seniority_Level__c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Portfolio Holder / Senior Officer / Officer / Other. Allows filtering to identify influential contacts quickly.</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Is Decision Maker</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Is_Decision_Maker__c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Checkbox</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 binary yes/no flag. Checkbox is correct because the answer is binary. When ticked, this contact appears in the Decision Maker report view.</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 Type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Contact_Type__c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 / Officer / Operational / Other. Distinguishes elected members from officers — relevant for council contacts and engagement strategy.</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Last Interaction Date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Last_Interaction_Date__c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Records when this contact was last engaged. Used in the stale contact Flow and in reports to identify cold contacts.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Preferred Contact Method</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Preferred_Contact_Method__c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Email / Phone / Post / In Person. Ensures communications are directed through the contact's preferred channel.</w:t>
            </w:r>
          </w:p>
        </w:tc>
      </w:tr>
    </w:tbl>
    <w:p>
      <w:pPr>
        <w:spacing w:before="60" w:after="60"/>
      </w:pPr>
    </w:p>
    <w:p>
      <w:pPr>
        <w:pStyle w:val="Heading2"/>
        <w:spacing w:before="280" w:after="100"/>
      </w:pPr>
      <w:r>
        <w:rPr>
          <w:rFonts w:ascii="Arial" w:cs="Arial" w:eastAsia="Arial" w:hAnsi="Arial"/>
          <w:b/>
          <w:bCs/>
          <w:color w:val="2E75B6"/>
          <w:sz w:val="26"/>
          <w:szCs w:val="26"/>
        </w:rPr>
        <w:t xml:space="preserve">2.4 Opportunity — Grant and Funding Opportunities</w:t>
      </w:r>
    </w:p>
    <w:p>
      <w:pPr>
        <w:spacing w:before="60" w:after="100"/>
      </w:pPr>
      <w:r>
        <w:rPr>
          <w:rFonts w:ascii="Arial" w:cs="Arial" w:eastAsia="Arial" w:hAnsi="Arial"/>
          <w:sz w:val="22"/>
          <w:szCs w:val="22"/>
        </w:rPr>
        <w:t xml:space="preserve">The Opportunity object is repurposed to track grants and funding opportunities. By default Opportunity is designed for sales — but its core structure maps almost perfectly onto the grant tracking requirement: a linked organisation, a value, a deadline, a pipeline stage, and a contact. Repurposing Opportunity rather than building a custom Grant object is the correct admin approach.</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This was one of the most important decisions in the design. I chose to repurpose the standard Opportunity object rather than build a custom Grant object because Opportunity already has Stage, Close Date, Amount, Contact Roles, Kanban view, and pipeline reports all built in. Creating a custom Grant object would have meant rebuilding all of that from scratch. I applied the same principle here that guided the whole design: configure standard objects before creating custom ones.</w:t>
      </w:r>
    </w:p>
    <w:p>
      <w:pPr>
        <w:spacing w:before="60" w:after="60"/>
      </w:pPr>
    </w:p>
    <w:p>
      <w:pPr>
        <w:spacing w:before="200" w:after="80"/>
      </w:pPr>
      <w:r>
        <w:rPr>
          <w:rFonts w:ascii="Arial" w:cs="Arial" w:eastAsia="Arial" w:hAnsi="Arial"/>
          <w:b/>
          <w:bCs/>
          <w:color w:val="1F4E79"/>
          <w:sz w:val="22"/>
          <w:szCs w:val="22"/>
        </w:rPr>
        <w:t xml:space="preserve">How Standard Opportunity Fields Are Reconfigured</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4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Standard Field</w:t>
            </w:r>
          </w:p>
        </w:tc>
        <w:tc>
          <w:tcPr>
            <w:tcW w:type="dxa" w:w="2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Relabelled As</w:t>
            </w:r>
          </w:p>
        </w:tc>
        <w:tc>
          <w:tcPr>
            <w:tcW w:type="dxa" w:w="4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How It Is Used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 Name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 Opportunity Name</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name of the grant (e.g. Community Development Fund 2026).</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 Name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Organisation</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The body offering the grant — linked to the Account record.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Amount</w:t>
            </w:r>
          </w:p>
        </w:tc>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Value</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value of the grant where known. Left blank if not yet confirmed.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Close Date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Application Deadline</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The date by which the application must be submitted.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Stage</w:t>
            </w:r>
          </w:p>
        </w:tc>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Application Stage</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Custom values: Identified / Application In Progress / Submitted / Awarded / Declined / Withdrawn.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Type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Set to Grant</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Fixed value to distinguish grant records from any future commercial opportunities.</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Description</w:t>
            </w:r>
          </w:p>
        </w:tc>
        <w:tc>
          <w:tcPr>
            <w:tcW w:type="dxa" w:w="2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Eligibility and Notes</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Eligibility criteria, funder priorities, and any other relevant context.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 Roles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 Contact</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Links the Opportunity to the specific Contact at the funder organisation who manages this grant.</w:t>
            </w:r>
          </w:p>
        </w:tc>
      </w:tr>
    </w:tbl>
    <w:p>
      <w:pPr>
        <w:spacing w:before="60" w:after="60"/>
      </w:pPr>
    </w:p>
    <w:p>
      <w:pPr>
        <w:spacing w:before="200" w:after="80"/>
      </w:pPr>
      <w:r>
        <w:rPr>
          <w:rFonts w:ascii="Arial" w:cs="Arial" w:eastAsia="Arial" w:hAnsi="Arial"/>
          <w:b/>
          <w:bCs/>
          <w:color w:val="1F4E79"/>
          <w:sz w:val="22"/>
          <w:szCs w:val="22"/>
        </w:rPr>
        <w:t xml:space="preserve">Custom Fields Added to Opportunity</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330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Label</w:t>
            </w:r>
          </w:p>
        </w:tc>
        <w:tc>
          <w:tcPr>
            <w:tcW w:type="dxa" w:w="17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API Name</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Type</w:t>
            </w:r>
          </w:p>
        </w:tc>
        <w:tc>
          <w:tcPr>
            <w:tcW w:type="dxa" w:w="33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Why This Type Was Chosen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Timescale Category</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Timescale_Category__c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1-3 Months / 3-6 Months / 6 Months or More. Consistent with Initiative__c. Allows filtering the pipeline by urgency.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 Reference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Grant_Reference__c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Text (80)</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The funder's own reference number where one exists.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Decision Date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Decision_Date__c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date the funder will communicate their decision. Separate from the application deadline.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Application Submitted 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Application_Submitted_Date__c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Records when the application was submitted. Required by Validation Rule when Stage = Submitted.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Funding Source Type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Funding_Source_Type__c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Trust and Foundation / Local Authority / Central Government / Corporate / Other. Allows segmentation of the pipeline by funder type.</w:t>
            </w:r>
          </w:p>
        </w:tc>
      </w:tr>
    </w:tbl>
    <w:p>
      <w:pPr>
        <w:spacing w:before="60" w:after="60"/>
      </w:pPr>
    </w:p>
    <w:p>
      <w:pPr>
        <w:pStyle w:val="Heading2"/>
        <w:spacing w:before="280" w:after="100"/>
      </w:pPr>
      <w:r>
        <w:rPr>
          <w:rFonts w:ascii="Arial" w:cs="Arial" w:eastAsia="Arial" w:hAnsi="Arial"/>
          <w:b/>
          <w:bCs/>
          <w:color w:val="2E75B6"/>
          <w:sz w:val="26"/>
          <w:szCs w:val="26"/>
        </w:rPr>
        <w:t xml:space="preserve">2.5 Task — Interaction History and Follow-Up</w:t>
      </w:r>
    </w:p>
    <w:p>
      <w:pPr>
        <w:spacing w:before="60" w:after="100"/>
      </w:pPr>
      <w:r>
        <w:rPr>
          <w:rFonts w:ascii="Arial" w:cs="Arial" w:eastAsia="Arial" w:hAnsi="Arial"/>
          <w:sz w:val="22"/>
          <w:szCs w:val="22"/>
        </w:rPr>
        <w:t xml:space="preserve">The standard Task object logs completed interactions and creates future follow-up reminders. Tasks link natively to both a Contact and an Account simultaneously — so a logged call with a grant officer appears on both the person's record and the organisation's record. This dual visibility is built in and requires no configuration.</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chose Tasks over a custom Interaction object because Tasks come with the Activity Timeline — a built-in chronological view on every record — standard Activity reports, and native Flow integration. A custom object would have required rebuilding all of this from scratch. Tasks are the correct standard tool for interaction logging.</w:t>
      </w:r>
    </w:p>
    <w:p>
      <w:pPr>
        <w:spacing w:before="60" w:after="60"/>
      </w:pPr>
    </w:p>
    <w:p>
      <w:pPr>
        <w:pStyle w:val="Heading2"/>
        <w:spacing w:before="280" w:after="100"/>
      </w:pPr>
      <w:r>
        <w:rPr>
          <w:rFonts w:ascii="Arial" w:cs="Arial" w:eastAsia="Arial" w:hAnsi="Arial"/>
          <w:b/>
          <w:bCs/>
          <w:color w:val="2E75B6"/>
          <w:sz w:val="26"/>
          <w:szCs w:val="26"/>
        </w:rPr>
        <w:t xml:space="preserve">2.6 Initiative__c — The One Custom Object</w:t>
      </w:r>
    </w:p>
    <w:p>
      <w:pPr>
        <w:spacing w:before="60" w:after="100"/>
      </w:pPr>
      <w:r>
        <w:rPr>
          <w:rFonts w:ascii="Arial" w:cs="Arial" w:eastAsia="Arial" w:hAnsi="Arial"/>
          <w:sz w:val="22"/>
          <w:szCs w:val="22"/>
        </w:rPr>
        <w:t xml:space="preserve">Initiative__c records planned initiatives from partner organisations — what an external body is planning to do, over what timescale, whether it is politically or officer led, and how it might be relevant to the charity. It also holds a lookup to a related grant opportunity, enabling the team to connect a partner's planned initiative directly to a funding opportunity from the same body.</w:t>
      </w:r>
    </w:p>
    <w:p>
      <w:pPr>
        <w:spacing w:before="60" w:after="60"/>
      </w:pPr>
    </w:p>
    <w:p>
      <w:pPr>
        <w:spacing w:before="200" w:after="80"/>
      </w:pPr>
      <w:r>
        <w:rPr>
          <w:rFonts w:ascii="Arial" w:cs="Arial" w:eastAsia="Arial" w:hAnsi="Arial"/>
          <w:b/>
          <w:bCs/>
          <w:color w:val="1F4E79"/>
          <w:sz w:val="22"/>
          <w:szCs w:val="22"/>
        </w:rPr>
        <w:t xml:space="preserve">Why a Custom Object Is Justified</w:t>
      </w:r>
    </w:p>
    <w:p>
      <w:pPr>
        <w:spacing w:before="60" w:after="100"/>
      </w:pPr>
      <w:r>
        <w:rPr>
          <w:rFonts w:ascii="Arial" w:cs="Arial" w:eastAsia="Arial" w:hAnsi="Arial"/>
          <w:sz w:val="22"/>
          <w:szCs w:val="22"/>
        </w:rPr>
        <w:t xml:space="preserve">No standard Salesforce object fits this requirement. Opportunity is used for grants. Task is used for interactions. Campaign is for outreach. A planned initiative — structured intelligence about what an external organisation is planning — has no standard home. This is the one case in this design where a custom object is the right answer, and it was the decision I reached only after actively considering every standard option first.</w:t>
      </w:r>
    </w:p>
    <w:p>
      <w:pPr>
        <w:spacing w:before="60" w:after="60"/>
      </w:pPr>
    </w:p>
    <w:p>
      <w:pPr>
        <w:spacing w:before="200" w:after="80"/>
      </w:pPr>
      <w:r>
        <w:rPr>
          <w:rFonts w:ascii="Arial" w:cs="Arial" w:eastAsia="Arial" w:hAnsi="Arial"/>
          <w:b/>
          <w:bCs/>
          <w:color w:val="1F4E79"/>
          <w:sz w:val="22"/>
          <w:szCs w:val="22"/>
        </w:rPr>
        <w:t xml:space="preserve">Relationship to Account — Master-Detail</w:t>
      </w:r>
    </w:p>
    <w:p>
      <w:pPr>
        <w:spacing w:before="60" w:after="100"/>
      </w:pPr>
      <w:r>
        <w:rPr>
          <w:rFonts w:ascii="Arial" w:cs="Arial" w:eastAsia="Arial" w:hAnsi="Arial"/>
          <w:sz w:val="22"/>
          <w:szCs w:val="22"/>
        </w:rPr>
        <w:t xml:space="preserve">The relationship between Initiative__c and Account is a Master-Detail. Account is the parent and every Initiative record must belong to an organisation. If the Account is deleted, related Initiative records are deleted with it. An Initiative without an organisation is meaningless data — the relationship type enforces this correctly.</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chose Master-Detail over Lookup specifically because an Initiative without a parent organisation has no meaning or purpose. Master-Detail enforces the required relationship, makes the Account field mandatory on every Initiative, and — crucially — unlocks Roll-Up Summary fields on the Account in a future phase. For example, I can add a Count of Active Initiatives field that updates automatically. This is only possible with Master-Detail, not with a Lookup, and building the relationship correctly now means I can add this capability without any structural change later.</w:t>
      </w:r>
    </w:p>
    <w:p>
      <w:pPr>
        <w:spacing w:before="60" w:after="60"/>
      </w:pPr>
    </w:p>
    <w:p>
      <w:pPr>
        <w:spacing w:before="200" w:after="80"/>
      </w:pPr>
      <w:r>
        <w:rPr>
          <w:rFonts w:ascii="Arial" w:cs="Arial" w:eastAsia="Arial" w:hAnsi="Arial"/>
          <w:b/>
          <w:bCs/>
          <w:color w:val="1F4E79"/>
          <w:sz w:val="22"/>
          <w:szCs w:val="22"/>
        </w:rPr>
        <w:t xml:space="preserve">Initiative__c Fields</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1700"/>
        <w:gridCol w:w="1800"/>
        <w:gridCol w:w="330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Label</w:t>
            </w:r>
          </w:p>
        </w:tc>
        <w:tc>
          <w:tcPr>
            <w:tcW w:type="dxa" w:w="17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API Name</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 Type</w:t>
            </w:r>
          </w:p>
        </w:tc>
        <w:tc>
          <w:tcPr>
            <w:tcW w:type="dxa" w:w="33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Why This Type Was Chosen</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 Name</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Name</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Auto-Name (Text)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Standard Name field. Free text so researchers can give each initiative a descriptive, meaningful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Organisation</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Master-Detail (Account)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Master-Detail to Account. Every Initiative must have a parent organisation. Enables Roll-Up Summary fields in a future phase.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Lead Contact</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Contact__c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Lookup (Contact)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individual leading or sponsoring this initiative. Optional — not always known when first recorded. Lookup because the Contact is not the parent owner.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Related Grant Opportunity</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Grant_Opportunity__c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Lookup (Opportunity)</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Links the Initiative to a related Grant Opportunity where one exists. Lookup because not every initiative has a linked grant, and the Opportunity is a peer record, not a parent.</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 Description</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Initiative_Description__c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Long Text Area</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 full description of what the initiative involves. Long Text Area allows sufficient detail for complex programmes.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Lead Type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Lead_Type__c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 / Officer / Joint / Unknown. Distinguishes council-leader-driven initiatives from officer-led ones — the engagement approach differs depending on which layer is driving.</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Timescale Category</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Timescale_Category__c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1-3 Months / 3-6 Months / 6 Months or More. Consistent with Opportunity. Required by Validation Rule.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Relevance to the Charity</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Relevance_Notes__c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Notes on how this initiative relates to the charity's work. Prompts the researcher to articulate why the initiative matters.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Status</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Status__c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Active / Completed / Cancelled / On Hold. Allows filtering to show only live initiatives.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Estimated Start Date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Estimated_Start_Date__c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Date</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Approximate launch date where known. Date field enables timeline sorting and date-range filtering.</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Target Locations</w:t>
            </w:r>
          </w:p>
        </w:tc>
        <w:tc>
          <w:tcPr>
            <w:tcW w:type="dxa" w:w="17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Target_Locations__c</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Text Area (255)</w:t>
            </w:r>
          </w:p>
        </w:tc>
        <w:tc>
          <w:tcPr>
            <w:tcW w:type="dxa" w:w="3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Specific communities or geographic areas the initiative is targeting. Supports geographic alignment reporting.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Priority</w:t>
            </w:r>
          </w:p>
        </w:tc>
        <w:tc>
          <w:tcPr>
            <w:tcW w:type="dxa" w:w="17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Priority__c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Picklist</w:t>
            </w:r>
          </w:p>
        </w:tc>
        <w:tc>
          <w:tcPr>
            <w:tcW w:type="dxa" w:w="3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High / Medium / Low. Allows the team to prioritise which initiatives to act on when resources are limited.</w:t>
            </w:r>
          </w:p>
        </w:tc>
      </w:tr>
    </w:tbl>
    <w:p>
      <w:r>
        <w:br w:type="page"/>
      </w:r>
    </w:p>
    <w:p>
      <w:pPr>
        <w:pStyle w:val="Heading1"/>
        <w:spacing w:before="360" w:after="120"/>
      </w:pPr>
      <w:r>
        <w:rPr>
          <w:rFonts w:ascii="Arial" w:cs="Arial" w:eastAsia="Arial" w:hAnsi="Arial"/>
          <w:b/>
          <w:bCs/>
          <w:color w:val="1F4E79"/>
          <w:sz w:val="32"/>
          <w:szCs w:val="32"/>
        </w:rPr>
        <w:t xml:space="preserve">3. Record Types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Record Types allow a single object to present different picklist values and page layouts depending on what kind of record is being created. They are used on two objects in this design: Account and Opportunity.</w:t>
      </w:r>
    </w:p>
    <w:p>
      <w:pPr>
        <w:spacing w:before="60" w:after="60"/>
      </w:pPr>
    </w:p>
    <w:p>
      <w:pPr>
        <w:pStyle w:val="Heading2"/>
        <w:spacing w:before="280" w:after="100"/>
      </w:pPr>
      <w:r>
        <w:rPr>
          <w:rFonts w:ascii="Arial" w:cs="Arial" w:eastAsia="Arial" w:hAnsi="Arial"/>
          <w:b/>
          <w:bCs/>
          <w:color w:val="2E75B6"/>
          <w:sz w:val="26"/>
          <w:szCs w:val="26"/>
        </w:rPr>
        <w:t xml:space="preserve">3.1 Account Record Types</w:t>
      </w:r>
    </w:p>
    <w:p>
      <w:pPr>
        <w:spacing w:before="60" w:after="100"/>
      </w:pPr>
      <w:r>
        <w:rPr>
          <w:rFonts w:ascii="Arial" w:cs="Arial" w:eastAsia="Arial" w:hAnsi="Arial"/>
          <w:sz w:val="22"/>
          <w:szCs w:val="22"/>
        </w:rPr>
        <w:t xml:space="preserve">Two Record Types are created to classify every organisation from the moment it is added to the system: Large Organisation and Small Organisation. This classification drives filtering, segmentation, and reporting across the partner network immediately.</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4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Record Type</w:t>
            </w:r>
          </w:p>
        </w:tc>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Intended Organisations</w:t>
            </w:r>
          </w:p>
        </w:tc>
        <w:tc>
          <w:tcPr>
            <w:tcW w:type="dxa" w:w="4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Page Layout Assignment</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Large Organisation</w:t>
            </w:r>
          </w:p>
        </w:tc>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District Councils, County Councils, Housing Associations, NHS bodies, large national charities.</w:t>
            </w:r>
          </w:p>
        </w:tc>
        <w:tc>
          <w:tcPr>
            <w:tcW w:type="dxa" w:w="4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Shared Account layout including Political Structure, Officer Structure, and Departmental Mapping sections (see Section 4.1).</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Small Organisation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Local charities, small referral agents, community groups, individual businesses.</w:t>
            </w:r>
          </w:p>
        </w:tc>
        <w:tc>
          <w:tcPr>
            <w:tcW w:type="dxa" w:w="4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Same shared layout — Record Type drives classification. Layout split deferred to a future phase when requirements diverge.</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created separate Record Types for Large and Small Organisations to support classification and future scalability, but I made a deliberate decision to keep a shared page layout at this stage. The current data capture needs for both organisation types are largely the same. Maintaining two separate layouts would have added overhead without delivering a meaningfully different user experience right now. The Record Type infrastructure is in place — if Political Structure Notes needed to become mandatory for Large Organisations only, I can split the layouts in minutes without any structural change.</w:t>
      </w:r>
    </w:p>
    <w:p>
      <w:pPr>
        <w:spacing w:before="60" w:after="60"/>
      </w:pPr>
    </w:p>
    <w:p>
      <w:pPr>
        <w:pStyle w:val="Heading2"/>
        <w:spacing w:before="280" w:after="100"/>
      </w:pPr>
      <w:r>
        <w:rPr>
          <w:rFonts w:ascii="Arial" w:cs="Arial" w:eastAsia="Arial" w:hAnsi="Arial"/>
          <w:b/>
          <w:bCs/>
          <w:color w:val="2E75B6"/>
          <w:sz w:val="26"/>
          <w:szCs w:val="26"/>
        </w:rPr>
        <w:t xml:space="preserve">3.2 Opportunity Record Type — Grant Opportunity</w:t>
      </w:r>
    </w:p>
    <w:p>
      <w:pPr>
        <w:spacing w:before="60" w:after="100"/>
      </w:pPr>
      <w:r>
        <w:rPr>
          <w:rFonts w:ascii="Arial" w:cs="Arial" w:eastAsia="Arial" w:hAnsi="Arial"/>
          <w:sz w:val="22"/>
          <w:szCs w:val="22"/>
        </w:rPr>
        <w:t xml:space="preserve">A dedicated Grant Opportunity Record Type ensures that grant records present grant-specific Stage values rather than the default Salesforce sales stages. This is done at the Record Type level, leaving the global Stage picklist untouched so future Record Types can have their own values independently.</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rPr>
          <w:tblHeader/>
        </w:trPr>
        <w:tc>
          <w:tcPr>
            <w:tcW w:type="dxa" w:w="2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Record Type</w:t>
            </w:r>
          </w:p>
        </w:tc>
        <w:tc>
          <w:tcPr>
            <w:tcW w:type="dxa" w:w="6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Stage Picklist Values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Opportunity</w:t>
            </w:r>
          </w:p>
        </w:tc>
        <w:tc>
          <w:tcPr>
            <w:tcW w:type="dxa" w:w="6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Identified / Application In Progress / Submitted / Awarded / Declined / Withdrawn</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reconfigured the Stage picklist values at the Record Type level rather than changing the global Opportunity picklist. This means the Grant Opportunity Record Type shows grant-relevant stages while the default sales values still exist in the org. If a second Record Type is added in future — for example for Sponsorship — it can have its own Stage values without affecting the grant pipeline. This is the correct, non-destructive approach.</w:t>
      </w:r>
    </w:p>
    <w:p>
      <w:r>
        <w:br w:type="page"/>
      </w:r>
    </w:p>
    <w:p>
      <w:pPr>
        <w:pStyle w:val="Heading1"/>
        <w:spacing w:before="360" w:after="120"/>
      </w:pPr>
      <w:r>
        <w:rPr>
          <w:rFonts w:ascii="Arial" w:cs="Arial" w:eastAsia="Arial" w:hAnsi="Arial"/>
          <w:b/>
          <w:bCs/>
          <w:color w:val="1F4E79"/>
          <w:sz w:val="32"/>
          <w:szCs w:val="32"/>
        </w:rPr>
        <w:t xml:space="preserve">4. Page Layouts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Page Layouts control which fields, related lists, and sections are visible on a record's detail and edit pages. A well-designed layout puts the most important information at the top, groups related fields logically, and removes anything that creates clutter. The layout itself does not restrict access — Field-Level Security does that. Layout is about usability; FLS is about access control.</w:t>
      </w:r>
    </w:p>
    <w:p>
      <w:pPr>
        <w:spacing w:before="60" w:after="60"/>
      </w:pPr>
    </w:p>
    <w:p>
      <w:pPr>
        <w:pStyle w:val="Heading2"/>
        <w:spacing w:before="280" w:after="100"/>
      </w:pPr>
      <w:r>
        <w:rPr>
          <w:rFonts w:ascii="Arial" w:cs="Arial" w:eastAsia="Arial" w:hAnsi="Arial"/>
          <w:b/>
          <w:bCs/>
          <w:color w:val="2E75B6"/>
          <w:sz w:val="26"/>
          <w:szCs w:val="26"/>
        </w:rPr>
        <w:t xml:space="preserve">4.1 Account — Shared Layout (Both Record Types)</w:t>
      </w:r>
    </w:p>
    <w:p>
      <w:pPr>
        <w:spacing w:before="60" w:after="100"/>
      </w:pPr>
      <w:r>
        <w:rPr>
          <w:rFonts w:ascii="Arial" w:cs="Arial" w:eastAsia="Arial" w:hAnsi="Arial"/>
          <w:sz w:val="22"/>
          <w:szCs w:val="22"/>
        </w:rPr>
        <w:t xml:space="preserve">Both Account Record Types share one layout at this stage. All fields are present — the Record Type classification handles the distinction between large and small organisations.</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70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Section</w:t>
            </w:r>
          </w:p>
        </w:tc>
        <w:tc>
          <w:tcPr>
            <w:tcW w:type="dxa" w:w="7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Fields and Design Rationale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Organisation Overview (2 columns)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Left: Account Name, Relationship Type, Organisation Size. Right: Phone, Website, Last Reviewed Date, Last Interaction Date. The most important identifying and classification information is immediately visible without scrolling.</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 Context (1 column)</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 Summary (full width). Narrative text reads better at full width and is often the first thing someone reads when opening an unfamiliar record.</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Geographic Information (2 columns)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Left: Billing Address (standard). Right: Geographic Scope. Address and geographic scope are related — grouping them spatially makes sense.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 Structure (1 column)</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Political Structure Notes (full width). Long Text Area content needs full width to be readable. Left blank for Small Organisation records.</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Officer Structure (1 column)</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Officer Structure Notes (full width). Same rationale as above.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Departmental Mapping (2 columns)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Left: Departments With Relationship. Right: Departments To Target. Side-by-side placement creates an implicit comparison — what we have versus what we should build.</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Related Lists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Contacts, Open Activities, Activity History, Opportunities (Grants), Initiatives. Contacts first — it is the most common next step when navigating from an organisation record.</w:t>
            </w:r>
          </w:p>
        </w:tc>
      </w:tr>
    </w:tbl>
    <w:p>
      <w:pPr>
        <w:spacing w:before="60" w:after="60"/>
      </w:pPr>
    </w:p>
    <w:p>
      <w:pPr>
        <w:pStyle w:val="Heading2"/>
        <w:spacing w:before="280" w:after="100"/>
      </w:pPr>
      <w:r>
        <w:rPr>
          <w:rFonts w:ascii="Arial" w:cs="Arial" w:eastAsia="Arial" w:hAnsi="Arial"/>
          <w:b/>
          <w:bCs/>
          <w:color w:val="2E75B6"/>
          <w:sz w:val="26"/>
          <w:szCs w:val="26"/>
        </w:rPr>
        <w:t xml:space="preserve">4.2 Contact Layout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70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Section</w:t>
            </w:r>
          </w:p>
        </w:tc>
        <w:tc>
          <w:tcPr>
            <w:tcW w:type="dxa" w:w="7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Fields and Design Rationale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Key Details (2 columns)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Left: First Name, Last Name, Account Name, Contact Type. Right: Title, Seniority Level, Is Decision Maker. The most critical fields are visible immediately — who this person is, what level they are, and whether they are a decision-maker.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 Information (2 columns)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Left: Email, Phone, Mobile. Right: Preferred Contact Method, Last Interaction Date. Communication details and last interaction date are placed together — context for contacting someone includes knowing when they were last reached.</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Role and Responsibility (1 column)</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Role / Responsibility (full width). Descriptive text reads better at full width.</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Related Lists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Open Activities, Activity History, Opportunity Contact Roles. Contact Roles shows every grant this person is linked to — important for both the Fundraising Manager and Relationship Researcher.</w:t>
            </w:r>
          </w:p>
        </w:tc>
      </w:tr>
    </w:tbl>
    <w:p>
      <w:pPr>
        <w:spacing w:before="60" w:after="60"/>
      </w:pPr>
    </w:p>
    <w:p>
      <w:pPr>
        <w:pStyle w:val="Heading2"/>
        <w:spacing w:before="280" w:after="100"/>
      </w:pPr>
      <w:r>
        <w:rPr>
          <w:rFonts w:ascii="Arial" w:cs="Arial" w:eastAsia="Arial" w:hAnsi="Arial"/>
          <w:b/>
          <w:bCs/>
          <w:color w:val="2E75B6"/>
          <w:sz w:val="26"/>
          <w:szCs w:val="26"/>
        </w:rPr>
        <w:t xml:space="preserve">4.3 Opportunity (Grant) Layout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70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Section</w:t>
            </w:r>
          </w:p>
        </w:tc>
        <w:tc>
          <w:tcPr>
            <w:tcW w:type="dxa" w:w="7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Fields and Design Rationale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Overview (2 columns)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Left: Opportunity Name, Account Name, Grant Value. Right: Timescale Category, Application Deadline, Decision Date. The what, who, how much, and when are all visible at the top.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Application Status (2 columns)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Left: Stage, Funding Source Type. Right: Application Submitted Date, Grant Reference. Status information grouped together. Submitted Date is placed next to Stage — it is required when Stage = Submitted.</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Details (1 column)</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Description (Eligibility and Notes) — full width for readability.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Related Lists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 Roles, Open Activities, Activity History. Contact Roles first — knowing the funder contact is often the first thing to check on a grant record.</w:t>
            </w:r>
          </w:p>
        </w:tc>
      </w:tr>
    </w:tbl>
    <w:p>
      <w:pPr>
        <w:spacing w:before="60" w:after="60"/>
      </w:pPr>
    </w:p>
    <w:p>
      <w:pPr>
        <w:pStyle w:val="Heading2"/>
        <w:spacing w:before="280" w:after="100"/>
      </w:pPr>
      <w:r>
        <w:rPr>
          <w:rFonts w:ascii="Arial" w:cs="Arial" w:eastAsia="Arial" w:hAnsi="Arial"/>
          <w:b/>
          <w:bCs/>
          <w:color w:val="2E75B6"/>
          <w:sz w:val="26"/>
          <w:szCs w:val="26"/>
        </w:rPr>
        <w:t xml:space="preserve">4.4 Initiative__c Layout</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200"/>
        <w:gridCol w:w="7000"/>
      </w:tblGrid>
      <w:tr>
        <w:trPr>
          <w:tblHeader/>
        </w:trPr>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Section</w:t>
            </w:r>
          </w:p>
        </w:tc>
        <w:tc>
          <w:tcPr>
            <w:tcW w:type="dxa" w:w="7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Fields and Design Rationale</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 Summary (2 columns)</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Left: Initiative Name, Organisation, Lead Type, Priority. Right: Status, Timescale Category, Estimated Start Date. Classification and timing visible immediately — lets the Fundraising Manager quickly assess relevance to current grant activity.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Linked People and Grant (2 columns)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Left: Lead Contact. Right: Related Grant Opportunity. Placing the contact and linked grant side by side creates a direct visual connection — the person driving the initiative and the funding opportunity it connects to are seen together.</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Details (1 column)</w:t>
            </w:r>
          </w:p>
        </w:tc>
        <w:tc>
          <w:tcPr>
            <w:tcW w:type="dxa" w:w="7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 Description (full width).</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Geographic and Relevance (2 columns)</w:t>
            </w:r>
          </w:p>
        </w:tc>
        <w:tc>
          <w:tcPr>
            <w:tcW w:type="dxa" w:w="7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Left: Target Locations. Right: Relevance to the Charity. Separated from the description so it is clearly identified as the charity's interpretation of the initiative.</w:t>
            </w:r>
          </w:p>
        </w:tc>
      </w:tr>
    </w:tbl>
    <w:p>
      <w:r>
        <w:br w:type="page"/>
      </w:r>
    </w:p>
    <w:p>
      <w:pPr>
        <w:pStyle w:val="Heading1"/>
        <w:spacing w:before="360" w:after="120"/>
      </w:pPr>
      <w:r>
        <w:rPr>
          <w:rFonts w:ascii="Arial" w:cs="Arial" w:eastAsia="Arial" w:hAnsi="Arial"/>
          <w:b/>
          <w:bCs/>
          <w:color w:val="1F4E79"/>
          <w:sz w:val="32"/>
          <w:szCs w:val="32"/>
        </w:rPr>
        <w:t xml:space="preserve">5. Security Model — Profiles and Permissions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security model defines what each user can see and do. In Salesforce this is controlled through Profiles (baseline object and field permissions) and Field-Level Security (field-by-field access control). Two profiles are configured in this implementation.</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set up both user profiles in the Developer Edition org rather than demonstrating everything through the System Administrator account. This was important because it proves the security model works as designed — the profile restrictions, FLS, and page layout assignments are all validated by logging in as each actual persona. Using only the Admin account would not have tested whether each persona sees the right things and is prevented from doing the wrong things.</w:t>
      </w:r>
    </w:p>
    <w:p>
      <w:pPr>
        <w:spacing w:before="60" w:after="60"/>
      </w:pPr>
    </w:p>
    <w:p>
      <w:pPr>
        <w:pStyle w:val="Heading2"/>
        <w:spacing w:before="280" w:after="100"/>
      </w:pPr>
      <w:r>
        <w:rPr>
          <w:rFonts w:ascii="Arial" w:cs="Arial" w:eastAsia="Arial" w:hAnsi="Arial"/>
          <w:b/>
          <w:bCs/>
          <w:color w:val="2E75B6"/>
          <w:sz w:val="26"/>
          <w:szCs w:val="26"/>
        </w:rPr>
        <w:t xml:space="preserve">5.1 Object-Level Permissions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400"/>
        <w:gridCol w:w="1400"/>
        <w:gridCol w:w="1400"/>
        <w:gridCol w:w="1300"/>
      </w:tblGrid>
      <w:tr>
        <w:trPr>
          <w:tblHeader/>
        </w:trPr>
        <w:tc>
          <w:tcPr>
            <w:tcW w:type="dxa" w:w="2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Object</w:t>
            </w:r>
          </w:p>
        </w:tc>
        <w:tc>
          <w:tcPr>
            <w:tcW w:type="dxa" w:w="1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Read</w:t>
            </w:r>
          </w:p>
        </w:tc>
        <w:tc>
          <w:tcPr>
            <w:tcW w:type="dxa" w:w="1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Create</w:t>
            </w:r>
          </w:p>
        </w:tc>
        <w:tc>
          <w:tcPr>
            <w:tcW w:type="dxa" w:w="1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Edit</w:t>
            </w:r>
          </w:p>
        </w:tc>
        <w:tc>
          <w:tcPr>
            <w:tcW w:type="dxa" w:w="1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Delete</w:t>
            </w:r>
          </w:p>
        </w:tc>
        <w:tc>
          <w:tcPr>
            <w:tcW w:type="dxa" w:w="13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View All</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Admin only</w:t>
            </w:r>
          </w:p>
        </w:tc>
        <w:tc>
          <w:tcPr>
            <w:tcW w:type="dxa" w:w="1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Contact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Admin only</w:t>
            </w:r>
          </w:p>
        </w:tc>
        <w:tc>
          <w:tcPr>
            <w:tcW w:type="dxa" w:w="1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FM</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Admin only</w:t>
            </w:r>
          </w:p>
        </w:tc>
        <w:tc>
          <w:tcPr>
            <w:tcW w:type="dxa" w:w="1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Task</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Admin only</w:t>
            </w:r>
          </w:p>
        </w:tc>
        <w:tc>
          <w:tcPr>
            <w:tcW w:type="dxa" w:w="13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Both</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Initiative__c</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RR</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RR</w:t>
            </w:r>
          </w:p>
        </w:tc>
        <w:tc>
          <w:tcPr>
            <w:tcW w:type="dxa" w:w="1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Admin only</w:t>
            </w:r>
          </w:p>
        </w:tc>
        <w:tc>
          <w:tcPr>
            <w:tcW w:type="dxa" w:w="13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Both</w:t>
            </w:r>
          </w:p>
        </w:tc>
      </w:tr>
    </w:tbl>
    <w:p>
      <w:pPr>
        <w:spacing w:before="60" w:after="60"/>
      </w:pPr>
    </w:p>
    <w:p>
      <w:pPr>
        <w:spacing w:before="60" w:after="100"/>
      </w:pPr>
      <w:r>
        <w:rPr>
          <w:rFonts w:ascii="Arial" w:cs="Arial" w:eastAsia="Arial" w:hAnsi="Arial"/>
          <w:sz w:val="22"/>
          <w:szCs w:val="22"/>
        </w:rPr>
        <w:t xml:space="preserve">FM = Fundraising Manager only. RR = Relationship Researcher only. Both = both personas. Delete is reserved for the System Administrator across all objects — accidental deletion of an organisation or grant record would be difficult to recover from.</w:t>
      </w:r>
    </w:p>
    <w:p>
      <w:pPr>
        <w:spacing w:before="60" w:after="60"/>
      </w:pPr>
    </w:p>
    <w:p>
      <w:pPr>
        <w:spacing w:before="60" w:after="100"/>
      </w:pPr>
      <w:r>
        <w:rPr>
          <w:rFonts w:ascii="Arial" w:cs="Arial" w:eastAsia="Arial" w:hAnsi="Arial"/>
          <w:sz w:val="22"/>
          <w:szCs w:val="22"/>
        </w:rPr>
        <w:t xml:space="preserve">Initiative__c is read-only for the Fundraising Manager. Initiatives are created and maintained by the Researcher. The Fundraising Manager needs to see them for context — to understand what a council is planning and whether it connects to a grant — but does not own them.</w:t>
      </w:r>
    </w:p>
    <w:p>
      <w:pPr>
        <w:spacing w:before="60" w:after="60"/>
      </w:pPr>
    </w:p>
    <w:p>
      <w:pPr>
        <w:pStyle w:val="Heading2"/>
        <w:spacing w:before="280" w:after="100"/>
      </w:pPr>
      <w:r>
        <w:rPr>
          <w:rFonts w:ascii="Arial" w:cs="Arial" w:eastAsia="Arial" w:hAnsi="Arial"/>
          <w:b/>
          <w:bCs/>
          <w:color w:val="2E75B6"/>
          <w:sz w:val="26"/>
          <w:szCs w:val="26"/>
        </w:rPr>
        <w:t xml:space="preserve">5.2 Field-Level Security</w:t>
      </w:r>
    </w:p>
    <w:p>
      <w:pPr>
        <w:spacing w:before="60" w:after="100"/>
      </w:pPr>
      <w:r>
        <w:rPr>
          <w:rFonts w:ascii="Arial" w:cs="Arial" w:eastAsia="Arial" w:hAnsi="Arial"/>
          <w:sz w:val="22"/>
          <w:szCs w:val="22"/>
        </w:rPr>
        <w:t xml:space="preserve">FLS is set at the profile level for fields where access needs to be genuinely restricted. Hiding a field on a page layout is not sufficient — it remains accessible via the API and other tools. FLS enforces access at the database level regardless of how the record is accessed.</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4000"/>
      </w:tblGrid>
      <w:tr>
        <w:trPr>
          <w:tblHeader/>
        </w:trPr>
        <w:tc>
          <w:tcPr>
            <w:tcW w:type="dxa" w:w="3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Field</w:t>
            </w:r>
          </w:p>
        </w:tc>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FLS for Fundraising Manager</w:t>
            </w:r>
          </w:p>
        </w:tc>
        <w:tc>
          <w:tcPr>
            <w:tcW w:type="dxa" w:w="4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Rationale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 Amount (Grant Value)</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Read and Edit</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Fundraising Manager owns grant records and needs to update the value when confirmed or revised.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Opportunity: Stage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Read and Edit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The Fundraising Manager moves grants through the pipeline — full edit access is required.</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 Political Structure Notes</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Read Only</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The Fundraising Manager needs context but should not amend structural information maintained by the Researcher.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 Officer Structure Notes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Read Only</w:t>
            </w:r>
          </w:p>
        </w:tc>
        <w:tc>
          <w:tcPr>
            <w:tcW w:type="dxa" w:w="4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Same rationale as above.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 Departments To Target</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Read Only</w:t>
            </w:r>
          </w:p>
        </w:tc>
        <w:tc>
          <w:tcPr>
            <w:tcW w:type="dxa" w:w="4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Maintained by the Researcher. Read access gives context for grant conversations.</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set Field-Level Security at the profile level rather than relying on page layout alone. I was aware that hiding a field on a layout does not prevent access via the API, reports, or other tools. For fields where genuine access control was needed, FLS is the only reliable mechanism. Layout is for usability; FLS is for security.</w:t>
      </w:r>
    </w:p>
    <w:p>
      <w:r>
        <w:br w:type="page"/>
      </w:r>
    </w:p>
    <w:p>
      <w:pPr>
        <w:pStyle w:val="Heading1"/>
        <w:spacing w:before="360" w:after="120"/>
      </w:pPr>
      <w:r>
        <w:rPr>
          <w:rFonts w:ascii="Arial" w:cs="Arial" w:eastAsia="Arial" w:hAnsi="Arial"/>
          <w:b/>
          <w:bCs/>
          <w:color w:val="1F4E79"/>
          <w:sz w:val="32"/>
          <w:szCs w:val="32"/>
        </w:rPr>
        <w:t xml:space="preserve">6. Automation — Salesforce Flow</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Four Flows have been built in this implementation, all using Flow Builder with no code required. All four are Record-Triggered After Save Flows, reflecting that they each interact with related records or perform actions beyond simply updating a field on the triggering record.</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built all automation using Salesforce Flow Builder rather than Workflow Rules or Process Builder. Workflow Rules and Process Builder are legacy tools that Salesforce has retired for new builds. Flow Builder is the current, supported standard. Using only Flow throughout this implementation reflects how Salesforce expects admins to work today.</w:t>
      </w:r>
    </w:p>
    <w:p>
      <w:pPr>
        <w:spacing w:before="60" w:after="60"/>
      </w:pPr>
    </w:p>
    <w:p>
      <w:pPr>
        <w:pStyle w:val="Heading2"/>
        <w:spacing w:before="280" w:after="100"/>
      </w:pPr>
      <w:r>
        <w:rPr>
          <w:rFonts w:ascii="Arial" w:cs="Arial" w:eastAsia="Arial" w:hAnsi="Arial"/>
          <w:b/>
          <w:bCs/>
          <w:color w:val="2E75B6"/>
          <w:sz w:val="26"/>
          <w:szCs w:val="26"/>
        </w:rPr>
        <w:t xml:space="preserve">Flow Summary</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000"/>
        <w:gridCol w:w="1800"/>
        <w:gridCol w:w="4400"/>
      </w:tblGrid>
      <w:tr>
        <w:trPr>
          <w:tblHeader/>
        </w:trPr>
        <w:tc>
          <w:tcPr>
            <w:tcW w:type="dxa" w:w="3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Flow Label</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Trigger Object</w:t>
            </w:r>
          </w:p>
        </w:tc>
        <w:tc>
          <w:tcPr>
            <w:tcW w:type="dxa" w:w="4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Purpose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Deadline Reminder</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w:t>
            </w:r>
          </w:p>
        </w:tc>
        <w:tc>
          <w:tcPr>
            <w:tcW w:type="dxa" w:w="4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Creates a reminder Task 3 days before a grant application deadline to reduce the risk of missed funding opportunities.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New Organisation Follow Up Task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w:t>
            </w:r>
          </w:p>
        </w:tc>
        <w:tc>
          <w:tcPr>
            <w:tcW w:type="dxa" w:w="4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Creates a follow-up Task automatically when a new Organisation record is created, ensuring consistent engagement from day one.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Sync Primary Contact with Organisation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Contact</w:t>
            </w:r>
          </w:p>
        </w:tc>
        <w:tc>
          <w:tcPr>
            <w:tcW w:type="dxa" w:w="4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Syncs the primary contact with the parent organisation to prevent free-floating contacts with no clear organisational link.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Update Last Interaction Date from Completed Task</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Task</w:t>
            </w:r>
          </w:p>
        </w:tc>
        <w:tc>
          <w:tcPr>
            <w:tcW w:type="dxa" w:w="4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Cross-object Flow. Updates the Organisation's Last Interaction Date when a related Task is marked as Completed.</w:t>
            </w:r>
          </w:p>
        </w:tc>
      </w:tr>
    </w:tbl>
    <w:p>
      <w:pPr>
        <w:spacing w:before="60" w:after="60"/>
      </w:pPr>
    </w:p>
    <w:p>
      <w:pPr>
        <w:pStyle w:val="Heading2"/>
        <w:spacing w:before="280" w:after="100"/>
      </w:pPr>
      <w:r>
        <w:rPr>
          <w:rFonts w:ascii="Arial" w:cs="Arial" w:eastAsia="Arial" w:hAnsi="Arial"/>
          <w:b/>
          <w:bCs/>
          <w:color w:val="2E75B6"/>
          <w:sz w:val="26"/>
          <w:szCs w:val="26"/>
        </w:rPr>
        <w:t xml:space="preserve">Flow 1 — Grant Deadline Reminder</w:t>
      </w:r>
    </w:p>
    <w:p>
      <w:pPr>
        <w:spacing w:before="200" w:after="80"/>
      </w:pPr>
      <w:r>
        <w:rPr>
          <w:rFonts w:ascii="Arial" w:cs="Arial" w:eastAsia="Arial" w:hAnsi="Arial"/>
          <w:b/>
          <w:bCs/>
          <w:color w:val="1F4E79"/>
          <w:sz w:val="22"/>
          <w:szCs w:val="22"/>
        </w:rPr>
        <w:t xml:space="preserve">Business problem it solves</w:t>
      </w:r>
    </w:p>
    <w:p>
      <w:pPr>
        <w:spacing w:before="60" w:after="100"/>
      </w:pPr>
      <w:r>
        <w:rPr>
          <w:rFonts w:ascii="Arial" w:cs="Arial" w:eastAsia="Arial" w:hAnsi="Arial"/>
          <w:sz w:val="22"/>
          <w:szCs w:val="22"/>
        </w:rPr>
        <w:t xml:space="preserve">Grant deadlines are missed because no system flags approaching dates. This Flow creates a reminder Task automatically when a grant deadline is within 3 days and the application has not yet been submitted.</w:t>
      </w:r>
    </w:p>
    <w:p>
      <w:pPr>
        <w:spacing w:before="60" w:after="60"/>
      </w:pPr>
    </w:p>
    <w:p>
      <w:pPr>
        <w:spacing w:before="200" w:after="80"/>
      </w:pPr>
      <w:r>
        <w:rPr>
          <w:rFonts w:ascii="Arial" w:cs="Arial" w:eastAsia="Arial" w:hAnsi="Arial"/>
          <w:b/>
          <w:bCs/>
          <w:color w:val="1F4E79"/>
          <w:sz w:val="22"/>
          <w:szCs w:val="22"/>
        </w:rPr>
        <w:t xml:space="preserve">Flow Type: Record-Triggered After Save — Opportunity</w:t>
      </w:r>
    </w:p>
    <w:p>
      <w:pPr>
        <w:spacing w:before="60" w:after="100"/>
      </w:pPr>
      <w:r>
        <w:rPr>
          <w:rFonts w:ascii="Arial" w:cs="Arial" w:eastAsia="Arial" w:hAnsi="Arial"/>
          <w:sz w:val="22"/>
          <w:szCs w:val="22"/>
        </w:rPr>
        <w:t xml:space="preserve">After Save is used because the Flow creates a Task, which is a separate record from the triggering Opportunity. Creating or updating a related record always requires After Save.</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800"/>
        <w:gridCol w:w="8400"/>
      </w:tblGrid>
      <w:tr>
        <w:trPr>
          <w:tblHeader/>
        </w:trPr>
        <w:tc>
          <w:tcPr>
            <w:tcW w:type="dxa" w:w="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Step</w:t>
            </w:r>
          </w:p>
        </w:tc>
        <w:tc>
          <w:tcPr>
            <w:tcW w:type="dxa" w:w="8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Happens and Why</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Trigger: Opportunity record created or updated.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w:t>
            </w:r>
          </w:p>
        </w:tc>
        <w:tc>
          <w:tcPr>
            <w:tcW w:type="dxa" w:w="8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Entry Condition: Application Deadline (Close Date) is within 3 days from today AND Stage is not Submitted, Awarded, Declined, or Withdrawn.</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Create Task: Subject = 'Grant deadline approaching — review application', Due Date = today, Assigned To = Opportunity Owner, linked to the Opportunity record.</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chose a Record-Triggered After Save Flow rather than a Scheduled Flow for the grant deadline reminder. A Record-Triggered Flow fires immediately when the condition is met — the moment a grant is created or updated with a deadline within 3 days, the reminder is created straight away. A Scheduled Flow would also work but runs on a fixed timetable. For deadline proximity tied to a specific record event, the Record-Triggered approach is more responsive and more precise.</w:t>
      </w:r>
    </w:p>
    <w:p>
      <w:pPr>
        <w:spacing w:before="60" w:after="60"/>
      </w:pPr>
    </w:p>
    <w:p>
      <w:pPr>
        <w:pStyle w:val="Heading2"/>
        <w:spacing w:before="280" w:after="100"/>
      </w:pPr>
      <w:r>
        <w:rPr>
          <w:rFonts w:ascii="Arial" w:cs="Arial" w:eastAsia="Arial" w:hAnsi="Arial"/>
          <w:b/>
          <w:bCs/>
          <w:color w:val="2E75B6"/>
          <w:sz w:val="26"/>
          <w:szCs w:val="26"/>
        </w:rPr>
        <w:t xml:space="preserve">Flow 2 — New Organisation Follow Up Task</w:t>
      </w:r>
    </w:p>
    <w:p>
      <w:pPr>
        <w:spacing w:before="200" w:after="80"/>
      </w:pPr>
      <w:r>
        <w:rPr>
          <w:rFonts w:ascii="Arial" w:cs="Arial" w:eastAsia="Arial" w:hAnsi="Arial"/>
          <w:b/>
          <w:bCs/>
          <w:color w:val="1F4E79"/>
          <w:sz w:val="22"/>
          <w:szCs w:val="22"/>
        </w:rPr>
        <w:t xml:space="preserve">Business problem it solves</w:t>
      </w:r>
    </w:p>
    <w:p>
      <w:pPr>
        <w:spacing w:before="60" w:after="100"/>
      </w:pPr>
      <w:r>
        <w:rPr>
          <w:rFonts w:ascii="Arial" w:cs="Arial" w:eastAsia="Arial" w:hAnsi="Arial"/>
          <w:sz w:val="22"/>
          <w:szCs w:val="22"/>
        </w:rPr>
        <w:t xml:space="preserve">When a new partner organisation is added there is no automatic prompt to follow up. This Flow creates a follow-up Task the moment a new Account record is created, ensuring every new partner gets an immediate engagement action assigned.</w:t>
      </w:r>
    </w:p>
    <w:p>
      <w:pPr>
        <w:spacing w:before="60" w:after="60"/>
      </w:pPr>
    </w:p>
    <w:p>
      <w:pPr>
        <w:spacing w:before="200" w:after="80"/>
      </w:pPr>
      <w:r>
        <w:rPr>
          <w:rFonts w:ascii="Arial" w:cs="Arial" w:eastAsia="Arial" w:hAnsi="Arial"/>
          <w:b/>
          <w:bCs/>
          <w:color w:val="1F4E79"/>
          <w:sz w:val="22"/>
          <w:szCs w:val="22"/>
        </w:rPr>
        <w:t xml:space="preserve">Flow Type: Record-Triggered After Save — Account</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800"/>
        <w:gridCol w:w="8400"/>
      </w:tblGrid>
      <w:tr>
        <w:trPr>
          <w:tblHeader/>
        </w:trPr>
        <w:tc>
          <w:tcPr>
            <w:tcW w:type="dxa" w:w="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Step</w:t>
            </w:r>
          </w:p>
        </w:tc>
        <w:tc>
          <w:tcPr>
            <w:tcW w:type="dxa" w:w="8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Happens and Why</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Trigger: Account record created.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w:t>
            </w:r>
          </w:p>
        </w:tc>
        <w:tc>
          <w:tcPr>
            <w:tcW w:type="dxa" w:w="8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Entry Condition: ISNEW() = true. Restricts the Flow to new records only — does not fire on every edit of an existing organisation.</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Create Task: Subject = 'Follow up — new organisation added', Due Date = 7 days from today, Assigned To = Account Owner, linked to the Account.</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This Flow was not in the original use case specification — I identified the need for it during the build. When I started creating test organisation records I noticed there was no automatic prompt to follow up with a new partner. I added it as a value-add because it solves a real problem and took very little time to build. Every new organisation added to the system now generates an immediate engagement action automatically.</w:t>
      </w:r>
    </w:p>
    <w:p>
      <w:pPr>
        <w:spacing w:before="60" w:after="60"/>
      </w:pPr>
    </w:p>
    <w:p>
      <w:pPr>
        <w:pStyle w:val="Heading2"/>
        <w:spacing w:before="280" w:after="100"/>
      </w:pPr>
      <w:r>
        <w:rPr>
          <w:rFonts w:ascii="Arial" w:cs="Arial" w:eastAsia="Arial" w:hAnsi="Arial"/>
          <w:b/>
          <w:bCs/>
          <w:color w:val="2E75B6"/>
          <w:sz w:val="26"/>
          <w:szCs w:val="26"/>
        </w:rPr>
        <w:t xml:space="preserve">Flow 3 — Sync Primary Contact with Organisation</w:t>
      </w:r>
    </w:p>
    <w:p>
      <w:pPr>
        <w:spacing w:before="200" w:after="80"/>
      </w:pPr>
      <w:r>
        <w:rPr>
          <w:rFonts w:ascii="Arial" w:cs="Arial" w:eastAsia="Arial" w:hAnsi="Arial"/>
          <w:b/>
          <w:bCs/>
          <w:color w:val="1F4E79"/>
          <w:sz w:val="22"/>
          <w:szCs w:val="22"/>
        </w:rPr>
        <w:t xml:space="preserve">Business problem it solves</w:t>
      </w:r>
    </w:p>
    <w:p>
      <w:pPr>
        <w:spacing w:before="60" w:after="100"/>
      </w:pPr>
      <w:r>
        <w:rPr>
          <w:rFonts w:ascii="Arial" w:cs="Arial" w:eastAsia="Arial" w:hAnsi="Arial"/>
          <w:sz w:val="22"/>
          <w:szCs w:val="22"/>
        </w:rPr>
        <w:t xml:space="preserve">Contacts were being created without a reliable link back to their parent Organisation being reflected on the Account record. A free-floating contact makes the partner network harder to navigate and reporting less reliable.</w:t>
      </w:r>
    </w:p>
    <w:p>
      <w:pPr>
        <w:spacing w:before="60" w:after="60"/>
      </w:pPr>
    </w:p>
    <w:p>
      <w:pPr>
        <w:spacing w:before="200" w:after="80"/>
      </w:pPr>
      <w:r>
        <w:rPr>
          <w:rFonts w:ascii="Arial" w:cs="Arial" w:eastAsia="Arial" w:hAnsi="Arial"/>
          <w:b/>
          <w:bCs/>
          <w:color w:val="1F4E79"/>
          <w:sz w:val="22"/>
          <w:szCs w:val="22"/>
        </w:rPr>
        <w:t xml:space="preserve">Flow Type: Record-Triggered After Save — Contact</w:t>
      </w:r>
    </w:p>
    <w:p>
      <w:pPr>
        <w:spacing w:before="60" w:after="100"/>
      </w:pPr>
      <w:r>
        <w:rPr>
          <w:rFonts w:ascii="Arial" w:cs="Arial" w:eastAsia="Arial" w:hAnsi="Arial"/>
          <w:sz w:val="22"/>
          <w:szCs w:val="22"/>
        </w:rPr>
        <w:t xml:space="preserve">After Save is correct here because the Flow updates the related Account — a different object from the triggering Contact. Cross-object updates always require After Save.</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800"/>
        <w:gridCol w:w="8400"/>
      </w:tblGrid>
      <w:tr>
        <w:trPr>
          <w:tblHeader/>
        </w:trPr>
        <w:tc>
          <w:tcPr>
            <w:tcW w:type="dxa" w:w="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Step</w:t>
            </w:r>
          </w:p>
        </w:tc>
        <w:tc>
          <w:tcPr>
            <w:tcW w:type="dxa" w:w="8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Happens and Why</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Trigger: Contact record created or updated.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w:t>
            </w:r>
          </w:p>
        </w:tc>
        <w:tc>
          <w:tcPr>
            <w:tcW w:type="dxa" w:w="8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Entry Condition: Account ID is not null. Prevents the Flow from running on contacts with no parent organisation.</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Update Records: updates the related Account to reflect the current primary contact information.</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built this Flow to solve a data integrity problem I noticed during testing. I added it to ensure the primary contact on an Organisation record is always kept in sync automatically — removing a manual step that would otherwise be easy to forget. It shows the kind of attention to data quality that matters in a live implementation.</w:t>
      </w:r>
    </w:p>
    <w:p>
      <w:pPr>
        <w:spacing w:before="60" w:after="60"/>
      </w:pPr>
    </w:p>
    <w:p>
      <w:pPr>
        <w:pStyle w:val="Heading2"/>
        <w:spacing w:before="280" w:after="100"/>
      </w:pPr>
      <w:r>
        <w:rPr>
          <w:rFonts w:ascii="Arial" w:cs="Arial" w:eastAsia="Arial" w:hAnsi="Arial"/>
          <w:b/>
          <w:bCs/>
          <w:color w:val="2E75B6"/>
          <w:sz w:val="26"/>
          <w:szCs w:val="26"/>
        </w:rPr>
        <w:t xml:space="preserve">Flow 4 — Update Last Interaction Date from Completed Task</w:t>
      </w:r>
    </w:p>
    <w:p>
      <w:pPr>
        <w:spacing w:before="200" w:after="80"/>
      </w:pPr>
      <w:r>
        <w:rPr>
          <w:rFonts w:ascii="Arial" w:cs="Arial" w:eastAsia="Arial" w:hAnsi="Arial"/>
          <w:b/>
          <w:bCs/>
          <w:color w:val="1F4E79"/>
          <w:sz w:val="22"/>
          <w:szCs w:val="22"/>
        </w:rPr>
        <w:t xml:space="preserve">Business problem it solves</w:t>
      </w:r>
    </w:p>
    <w:p>
      <w:pPr>
        <w:spacing w:before="60" w:after="100"/>
      </w:pPr>
      <w:r>
        <w:rPr>
          <w:rFonts w:ascii="Arial" w:cs="Arial" w:eastAsia="Arial" w:hAnsi="Arial"/>
          <w:sz w:val="22"/>
          <w:szCs w:val="22"/>
        </w:rPr>
        <w:t xml:space="preserve">The Last Interaction Date on the Organisation record should always reflect when the charity last had a meaningful engagement with that partner. Relying on users to manually update this field is unreliable. This Flow updates it automatically whenever a Task linked to that Organisation is marked as Completed.</w:t>
      </w:r>
    </w:p>
    <w:p>
      <w:pPr>
        <w:spacing w:before="60" w:after="60"/>
      </w:pPr>
    </w:p>
    <w:p>
      <w:pPr>
        <w:spacing w:before="200" w:after="80"/>
      </w:pPr>
      <w:r>
        <w:rPr>
          <w:rFonts w:ascii="Arial" w:cs="Arial" w:eastAsia="Arial" w:hAnsi="Arial"/>
          <w:b/>
          <w:bCs/>
          <w:color w:val="1F4E79"/>
          <w:sz w:val="22"/>
          <w:szCs w:val="22"/>
        </w:rPr>
        <w:t xml:space="preserve">Flow Type: Record-Triggered After Save — Task (Cross-Object)</w:t>
      </w:r>
    </w:p>
    <w:p>
      <w:pPr>
        <w:spacing w:before="60" w:after="100"/>
      </w:pPr>
      <w:r>
        <w:rPr>
          <w:rFonts w:ascii="Arial" w:cs="Arial" w:eastAsia="Arial" w:hAnsi="Arial"/>
          <w:sz w:val="22"/>
          <w:szCs w:val="22"/>
        </w:rPr>
        <w:t xml:space="preserve">The trigger object is Task, not Account. The Flow traverses the WhatId relationship from the completed Task to the related Account and updates the Last Interaction Date field. This is a cross-object pattern and requires After Save.</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800"/>
        <w:gridCol w:w="8400"/>
      </w:tblGrid>
      <w:tr>
        <w:trPr>
          <w:tblHeader/>
        </w:trPr>
        <w:tc>
          <w:tcPr>
            <w:tcW w:type="dxa" w:w="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Step</w:t>
            </w:r>
          </w:p>
        </w:tc>
        <w:tc>
          <w:tcPr>
            <w:tcW w:type="dxa" w:w="8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Happens and Why</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Trigger: Task record created or updated.</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w:t>
            </w:r>
          </w:p>
        </w:tc>
        <w:tc>
          <w:tcPr>
            <w:tcW w:type="dxa" w:w="8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Entry Condition: Status = Completed AND WhatId is not null. Status condition ensures the date only updates when an interaction is actually completed, not when a Task is simply created or edited.</w:t>
            </w:r>
          </w:p>
        </w:tc>
      </w:tr>
      <w:tr>
        <w:tc>
          <w:tcPr>
            <w:tcW w:type="dxa" w:w="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w:t>
            </w:r>
          </w:p>
        </w:tc>
        <w:tc>
          <w:tcPr>
            <w:tcW w:type="dxa" w:w="8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Update Records: navigates from Triggering Task to the related Account via WhatId and sets Last_Interaction_Date__c = TODAY().</w:t>
            </w:r>
          </w:p>
        </w:tc>
      </w:tr>
    </w:tbl>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This is the most technically advanced Flow I built and I am particularly proud of it. I chose to trigger on Task rather than Account because the interaction event happens at the Task level — when a call or meeting is logged and marked complete. The Flow then traverses the WhatId relationship to the Account and updates the Last Interaction Date. This cross-object pattern means the Organisation record always reflects real engagement automatically with no manual input. I used After Save because the Flow updates a different record from the one that triggered it — the correct pattern for cross-object automation.</w:t>
      </w:r>
    </w:p>
    <w:p>
      <w:r>
        <w:br w:type="page"/>
      </w:r>
    </w:p>
    <w:p>
      <w:pPr>
        <w:pStyle w:val="Heading1"/>
        <w:spacing w:before="360" w:after="120"/>
      </w:pPr>
      <w:r>
        <w:rPr>
          <w:rFonts w:ascii="Arial" w:cs="Arial" w:eastAsia="Arial" w:hAnsi="Arial"/>
          <w:b/>
          <w:bCs/>
          <w:color w:val="1F4E79"/>
          <w:sz w:val="32"/>
          <w:szCs w:val="32"/>
        </w:rPr>
        <w:t xml:space="preserve">7. Validation Rules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Validation Rules enforce data quality by preventing a record from being saved unless specific conditions are met. They run on every save — whether from the UI, a mobile app, a data loader, or an API — making them more reliable than required fields on a page layout alone.</w:t>
      </w:r>
    </w:p>
    <w:p>
      <w:pPr>
        <w:spacing w:before="60" w:after="60"/>
      </w:pPr>
    </w:p>
    <w:p>
      <w:pPr>
        <w:pBdr>
          <w:left w:val="single" w:color="C55A11" w:sz="12" w:space="8"/>
        </w:pBdr>
        <w:shd w:fill="FFF2CC" w:val="clear"/>
        <w:spacing w:before="80" w:after="100"/>
        <w:ind w:left="200"/>
      </w:pPr>
      <w:r>
        <w:rPr>
          <w:rFonts w:ascii="Arial" w:cs="Arial" w:eastAsia="Arial" w:hAnsi="Arial"/>
          <w:b/>
          <w:bCs/>
          <w:color w:val="C55A11"/>
          <w:sz w:val="22"/>
          <w:szCs w:val="22"/>
        </w:rPr>
        <w:t xml:space="preserve">My Design Decision: </w:t>
      </w:r>
      <w:r>
        <w:rPr>
          <w:rFonts w:ascii="Arial" w:cs="Arial" w:eastAsia="Arial" w:hAnsi="Arial"/>
          <w:i/>
          <w:iCs/>
          <w:color w:val="333333"/>
          <w:sz w:val="22"/>
          <w:szCs w:val="22"/>
        </w:rPr>
        <w:t xml:space="preserve">I used Validation Rules to enforce required fields rather than simply marking them required on the page layout. A required field on a layout can be bypassed if a record is created via the API, a data import, or an integration — the layout requirement only applies when using the UI. A Validation Rule enforces the condition at the database level on every save. For fields that reports and dashboards depend on — like Relationship Type and Timescale Category — I needed enforcement that could not be circumvented.</w:t>
      </w:r>
    </w:p>
    <w:p>
      <w:pPr>
        <w:spacing w:before="60" w:after="60"/>
      </w:pPr>
    </w:p>
    <w:p>
      <w:pPr>
        <w:pStyle w:val="Heading2"/>
        <w:spacing w:before="280" w:after="100"/>
      </w:pPr>
      <w:r>
        <w:rPr>
          <w:rFonts w:ascii="Arial" w:cs="Arial" w:eastAsia="Arial" w:hAnsi="Arial"/>
          <w:b/>
          <w:bCs/>
          <w:color w:val="2E75B6"/>
          <w:sz w:val="26"/>
          <w:szCs w:val="26"/>
        </w:rPr>
        <w:t xml:space="preserve">Rule 1 — Account: Relationship Type Required</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Property</w:t>
            </w:r>
          </w:p>
        </w:tc>
        <w:tc>
          <w:tcPr>
            <w:tcW w:type="dxa" w:w="6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Object</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Rule Name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Relationship_Type_Required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Formula</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ISBLANK(Relationship_Type__c)</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Error Message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Please select a Relationship Type before saving this organisation record. This field is required for network reporting and partner classification.</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Error Location</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Relationship Type field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Why it exists</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Relationship Type is the primary classification field used to filter and segment the partner network. Without it an organisation cannot be included in filtered reports or dashboard segments. The Validation Rule ensures it is populated regardless of how the record is created.</w:t>
            </w:r>
          </w:p>
        </w:tc>
      </w:tr>
    </w:tbl>
    <w:p>
      <w:pPr>
        <w:spacing w:before="60" w:after="60"/>
      </w:pPr>
    </w:p>
    <w:p>
      <w:pPr>
        <w:pStyle w:val="Heading2"/>
        <w:spacing w:before="280" w:after="100"/>
      </w:pPr>
      <w:r>
        <w:rPr>
          <w:rFonts w:ascii="Arial" w:cs="Arial" w:eastAsia="Arial" w:hAnsi="Arial"/>
          <w:b/>
          <w:bCs/>
          <w:color w:val="2E75B6"/>
          <w:sz w:val="26"/>
          <w:szCs w:val="26"/>
        </w:rPr>
        <w:t xml:space="preserve">Rule 2 — Opportunity: Application Deadline Cannot Be in the Past on Creation</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Property</w:t>
            </w:r>
          </w:p>
        </w:tc>
        <w:tc>
          <w:tcPr>
            <w:tcW w:type="dxa" w:w="6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Object</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Rule Name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Deadline_Must_Be_Future_On_Creation</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Formula</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AND( ISNEW(), CloseDate &lt; TODAY() )</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Error Message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The Application Deadline cannot be in the past. Please check the date and try again.</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Error Location</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Application Deadline (Close Date) field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Why it exists</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Prevents data entry errors when a new grant record is created. ISNEW() restricts the rule to new records only — existing records with past deadlines (completed applications) are unaffected when edited. Without this rule a mistyped year would silently create a grant that immediately appears overdue.</w:t>
            </w:r>
          </w:p>
        </w:tc>
      </w:tr>
    </w:tbl>
    <w:p>
      <w:pPr>
        <w:spacing w:before="60" w:after="60"/>
      </w:pPr>
    </w:p>
    <w:p>
      <w:pPr>
        <w:pStyle w:val="Heading2"/>
        <w:spacing w:before="280" w:after="100"/>
      </w:pPr>
      <w:r>
        <w:rPr>
          <w:rFonts w:ascii="Arial" w:cs="Arial" w:eastAsia="Arial" w:hAnsi="Arial"/>
          <w:b/>
          <w:bCs/>
          <w:color w:val="2E75B6"/>
          <w:sz w:val="26"/>
          <w:szCs w:val="26"/>
        </w:rPr>
        <w:t xml:space="preserve">Rule 3 — Opportunity: Submitted Date Required When Stage = Submitted</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Property</w:t>
            </w:r>
          </w:p>
        </w:tc>
        <w:tc>
          <w:tcPr>
            <w:tcW w:type="dxa" w:w="6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Object</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Rule Name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Submitted_Date_Required_When_Submitted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Formula</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AND( ISPICKVAL(StageName, 'Submitted'), ISBLANK(Application_Submitted_Date__c) )</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Error Message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Please enter the Application Submitted Date when moving this grant to Submitted stage.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Error Location</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Application Submitted Date field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Why it exists</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Ensures the submission date is always recorded when an application is marked as submitted. This keeps the audit trail complete and enables reporting on time from submission to decision.</w:t>
            </w:r>
          </w:p>
        </w:tc>
      </w:tr>
    </w:tbl>
    <w:p>
      <w:pPr>
        <w:spacing w:before="60" w:after="60"/>
      </w:pPr>
    </w:p>
    <w:p>
      <w:pPr>
        <w:pStyle w:val="Heading2"/>
        <w:spacing w:before="280" w:after="100"/>
      </w:pPr>
      <w:r>
        <w:rPr>
          <w:rFonts w:ascii="Arial" w:cs="Arial" w:eastAsia="Arial" w:hAnsi="Arial"/>
          <w:b/>
          <w:bCs/>
          <w:color w:val="2E75B6"/>
          <w:sz w:val="26"/>
          <w:szCs w:val="26"/>
        </w:rPr>
        <w:t xml:space="preserve">Rule 4 — Initiative__c: Timescale Category Required</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66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Property</w:t>
            </w:r>
          </w:p>
        </w:tc>
        <w:tc>
          <w:tcPr>
            <w:tcW w:type="dxa" w:w="6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Detail</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Object</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Initiative__c</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Rule Name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Timescale_Category_Required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Formula</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ISBLANK(Timescale_Category__c)</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Error Message</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Please select a Timescale Category. This is required so the team can filter and prioritise initiatives by urgency.</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Error Location</w:t>
            </w:r>
          </w:p>
        </w:tc>
        <w:tc>
          <w:tcPr>
            <w:tcW w:type="dxa" w:w="6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Timescale Category field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Why it exists</w:t>
            </w:r>
          </w:p>
        </w:tc>
        <w:tc>
          <w:tcPr>
            <w:tcW w:type="dxa" w:w="6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Timescale Category is how initiatives are filtered in reports — 1-3 Months is the urgent pipeline, 3-6 Months is the horizon, 6 Months or More is background awareness. An initiative without a timescale cannot be prioritised. The rule ensures every record is useful from the moment it is created.</w:t>
            </w:r>
          </w:p>
        </w:tc>
      </w:tr>
    </w:tbl>
    <w:p>
      <w:r>
        <w:br w:type="page"/>
      </w:r>
    </w:p>
    <w:p>
      <w:pPr>
        <w:pStyle w:val="Heading1"/>
        <w:spacing w:before="360" w:after="120"/>
      </w:pPr>
      <w:r>
        <w:rPr>
          <w:rFonts w:ascii="Arial" w:cs="Arial" w:eastAsia="Arial" w:hAnsi="Arial"/>
          <w:b/>
          <w:bCs/>
          <w:color w:val="1F4E79"/>
          <w:sz w:val="32"/>
          <w:szCs w:val="32"/>
        </w:rPr>
        <w:t xml:space="preserve">8. Reports and Dashboards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All reports are built using the standard Salesforce Report Builder — no code is required. Reports are saved in shared folders so both personas can access them directly. The dashboard draws from saved reports and refreshes automatically.</w:t>
      </w:r>
    </w:p>
    <w:p>
      <w:pPr>
        <w:spacing w:before="60" w:after="60"/>
      </w:pPr>
    </w:p>
    <w:p>
      <w:pPr>
        <w:pStyle w:val="Heading2"/>
        <w:spacing w:before="280" w:after="100"/>
      </w:pPr>
      <w:r>
        <w:rPr>
          <w:rFonts w:ascii="Arial" w:cs="Arial" w:eastAsia="Arial" w:hAnsi="Arial"/>
          <w:b/>
          <w:bCs/>
          <w:color w:val="2E75B6"/>
          <w:sz w:val="26"/>
          <w:szCs w:val="26"/>
        </w:rPr>
        <w:t xml:space="preserve">8.1 Reports for the Fundraising Manager</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4500"/>
      </w:tblGrid>
      <w:tr>
        <w:trPr>
          <w:tblHeader/>
        </w:trPr>
        <w:tc>
          <w:tcPr>
            <w:tcW w:type="dxa" w:w="2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Report Name</w:t>
            </w:r>
          </w:p>
        </w:tc>
        <w:tc>
          <w:tcPr>
            <w:tcW w:type="dxa" w:w="19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Report Type</w:t>
            </w:r>
          </w:p>
        </w:tc>
        <w:tc>
          <w:tcPr>
            <w:tcW w:type="dxa" w:w="45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It Shows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Pipeline by Stage</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Opportunities</w:t>
            </w:r>
          </w:p>
        </w:tc>
        <w:tc>
          <w:tcPr>
            <w:tcW w:type="dxa" w:w="45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active Grant Opportunity records grouped by Stage. Shows Name, Organisation, Grant Value, Timescale Category, and Application Deadline. The primary pipeline management report.</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Grants Due in Next 30 Days</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Opportunities</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Active grants where Application Deadline falls within 30 days, sorted by deadline ascending. An action list the Fundraising Manager checks regularly.</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Pipeline Value by Timescale</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Opportunities</w:t>
            </w:r>
          </w:p>
        </w:tc>
        <w:tc>
          <w:tcPr>
            <w:tcW w:type="dxa" w:w="45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active grants grouped by Timescale Category with sum of Grant Value per band. Supports workload planning and forecasting.</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Awarded Grants Year to Date</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Opportunities</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Stage = Awarded in the current year, grouped by Organisation. Total value awarded. Used for funder reporting and board updates.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Contacts — No Recent Interaction</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Contacts with Accounts</w:t>
            </w:r>
          </w:p>
        </w:tc>
        <w:tc>
          <w:tcPr>
            <w:tcW w:type="dxa" w:w="45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Grant Provider contacts where Last Interaction Date is more than 60 days ago. Supports proactive relationship management before a grant window opens.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Initiatives by Timescale</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Initiative__c with Accounts</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Active initiatives grouped by Timescale Category. Shows Initiative Name, Organisation, Lead Type, Estimated Start Date, and Relevance Notes.</w:t>
            </w:r>
          </w:p>
        </w:tc>
      </w:tr>
    </w:tbl>
    <w:p>
      <w:pPr>
        <w:spacing w:before="60" w:after="60"/>
      </w:pPr>
    </w:p>
    <w:p>
      <w:pPr>
        <w:pStyle w:val="Heading2"/>
        <w:spacing w:before="280" w:after="100"/>
      </w:pPr>
      <w:r>
        <w:rPr>
          <w:rFonts w:ascii="Arial" w:cs="Arial" w:eastAsia="Arial" w:hAnsi="Arial"/>
          <w:b/>
          <w:bCs/>
          <w:color w:val="2E75B6"/>
          <w:sz w:val="26"/>
          <w:szCs w:val="26"/>
        </w:rPr>
        <w:t xml:space="preserve">8.2 Reports for the Relationship Researcher</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1900"/>
        <w:gridCol w:w="4500"/>
      </w:tblGrid>
      <w:tr>
        <w:trPr>
          <w:tblHeader/>
        </w:trPr>
        <w:tc>
          <w:tcPr>
            <w:tcW w:type="dxa" w:w="2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Report Name</w:t>
            </w:r>
          </w:p>
        </w:tc>
        <w:tc>
          <w:tcPr>
            <w:tcW w:type="dxa" w:w="19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Report Type</w:t>
            </w:r>
          </w:p>
        </w:tc>
        <w:tc>
          <w:tcPr>
            <w:tcW w:type="dxa" w:w="45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What It Shows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Organisations by Relationship Type</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Accounts</w:t>
            </w:r>
          </w:p>
        </w:tc>
        <w:tc>
          <w:tcPr>
            <w:tcW w:type="dxa" w:w="45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Account records grouped by Relationship Type. Shows Name, Organisation Size, Last Reviewed Date, Last Interaction Date, and Geographic Scope.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Stale Organisation Records</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Accounts</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Accounts where Last Reviewed Date is more than 90 days ago or null. Sorted by Last Reviewed Date ascending. A weekly action list for record maintenance.</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Decision Makers Across Network</w:t>
            </w:r>
          </w:p>
        </w:tc>
        <w:tc>
          <w:tcPr>
            <w:tcW w:type="dxa" w:w="19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Contacts with Accounts</w:t>
            </w:r>
          </w:p>
        </w:tc>
        <w:tc>
          <w:tcPr>
            <w:tcW w:type="dxa" w:w="45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Contacts where Is Decision Maker = true, grouped by Account Name. Shows Name, Title, Contact Type, Seniority Level, and Last Interaction Date.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Departments To Target</w:t>
            </w:r>
          </w:p>
        </w:tc>
        <w:tc>
          <w:tcPr>
            <w:tcW w:type="dxa" w:w="19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Accounts</w:t>
            </w:r>
          </w:p>
        </w:tc>
        <w:tc>
          <w:tcPr>
            <w:tcW w:type="dxa" w:w="45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Large Organisation accounts where Departments To Target field is not blank. Helps the Researcher identify where new relationships should be built.</w:t>
            </w:r>
          </w:p>
        </w:tc>
      </w:tr>
    </w:tbl>
    <w:p>
      <w:pPr>
        <w:spacing w:before="60" w:after="60"/>
      </w:pPr>
    </w:p>
    <w:p>
      <w:pPr>
        <w:pStyle w:val="Heading2"/>
        <w:spacing w:before="280" w:after="100"/>
      </w:pPr>
      <w:r>
        <w:rPr>
          <w:rFonts w:ascii="Arial" w:cs="Arial" w:eastAsia="Arial" w:hAnsi="Arial"/>
          <w:b/>
          <w:bCs/>
          <w:color w:val="2E75B6"/>
          <w:sz w:val="26"/>
          <w:szCs w:val="26"/>
        </w:rPr>
        <w:t xml:space="preserve">8.3 Fundraising Manager Dashboard</w:t>
      </w:r>
    </w:p>
    <w:p>
      <w:pPr>
        <w:spacing w:before="60" w:after="100"/>
      </w:pPr>
      <w:r>
        <w:rPr>
          <w:rFonts w:ascii="Arial" w:cs="Arial" w:eastAsia="Arial" w:hAnsi="Arial"/>
          <w:sz w:val="22"/>
          <w:szCs w:val="22"/>
        </w:rPr>
        <w:t xml:space="preserve">The dashboard provides a single-screen overview of the grant pipeline and key relationship health indicators. It is built from the saved reports above and refreshes automatically.</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5000"/>
      </w:tblGrid>
      <w:tr>
        <w:trPr>
          <w:tblHeader/>
        </w:trPr>
        <w:tc>
          <w:tcPr>
            <w:tcW w:type="dxa" w:w="2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Component</w:t>
            </w:r>
          </w:p>
        </w:tc>
        <w:tc>
          <w:tcPr>
            <w:tcW w:type="dxa" w:w="1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Type</w:t>
            </w:r>
          </w:p>
        </w:tc>
        <w:tc>
          <w:tcPr>
            <w:tcW w:type="dxa" w:w="50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Source Report and Rationale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Total Pipeline Value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Metric</w:t>
            </w:r>
          </w:p>
        </w:tc>
        <w:tc>
          <w:tcPr>
            <w:tcW w:type="dxa" w:w="5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Sum of Grant Value on all active grants. A single headline number giving immediate context — the scale of the live pipeline at a glance.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Awarded This Year</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Metric</w:t>
            </w:r>
          </w:p>
        </w:tc>
        <w:tc>
          <w:tcPr>
            <w:tcW w:type="dxa" w:w="5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Total value awarded in the current year. Placed next to Total Pipeline Value to create a comparison: what we are working toward versus what we have already secured.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Pipeline by Stage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Bar Chart</w:t>
            </w:r>
          </w:p>
        </w:tc>
        <w:tc>
          <w:tcPr>
            <w:tcW w:type="dxa" w:w="5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Count and value of grants at each stage. Horizontal bars work well with text-based stage labels. Shows where applications are in the process.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Deadlines in 30 Days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Table</w:t>
            </w:r>
          </w:p>
        </w:tc>
        <w:tc>
          <w:tcPr>
            <w:tcW w:type="dxa" w:w="5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 Name, Organisation, Value, Deadline — sorted by deadline. A table is chosen over a chart here because this is an action list — the user needs to read names and dates, not visualise a trend.</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Pipeline by Timescale</w:t>
            </w:r>
          </w:p>
        </w:tc>
        <w:tc>
          <w:tcPr>
            <w:tcW w:type="dxa" w:w="1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Donut Chart</w:t>
            </w:r>
          </w:p>
        </w:tc>
        <w:tc>
          <w:tcPr>
            <w:tcW w:type="dxa" w:w="50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Proportion of pipeline value in each timescale band. Communicates proportions at a glance — is most of the pipeline near-term or long-term?</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Grant Win Rate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Donut Chart</w:t>
            </w:r>
          </w:p>
        </w:tc>
        <w:tc>
          <w:tcPr>
            <w:tcW w:type="dxa" w:w="50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Awarded vs Declined vs Withdrawn as a proportion of closed grants. Historical success rate to support bid strategy decisions.</w:t>
            </w:r>
          </w:p>
        </w:tc>
      </w:tr>
    </w:tbl>
    <w:p>
      <w:r>
        <w:br w:type="page"/>
      </w:r>
    </w:p>
    <w:p>
      <w:pPr>
        <w:pStyle w:val="Heading1"/>
        <w:spacing w:before="360" w:after="120"/>
      </w:pPr>
      <w:r>
        <w:rPr>
          <w:rFonts w:ascii="Arial" w:cs="Arial" w:eastAsia="Arial" w:hAnsi="Arial"/>
          <w:b/>
          <w:bCs/>
          <w:color w:val="1F4E79"/>
          <w:sz w:val="32"/>
          <w:szCs w:val="32"/>
        </w:rPr>
        <w:t xml:space="preserve">9. Implementation Plan</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The build is structured into four phases. Each phase is independently testable and delivers working functionality — the system is useful after Phase 1 is complete, even before subsequent phases are built.</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600"/>
        <w:gridCol w:w="2200"/>
        <w:gridCol w:w="1800"/>
        <w:gridCol w:w="4600"/>
      </w:tblGrid>
      <w:tr>
        <w:trPr>
          <w:tblHeader/>
        </w:trPr>
        <w:tc>
          <w:tcPr>
            <w:tcW w:type="dxa" w:w="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w:t>
            </w:r>
          </w:p>
        </w:tc>
        <w:tc>
          <w:tcPr>
            <w:tcW w:type="dxa" w:w="22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Phase</w:t>
            </w:r>
          </w:p>
        </w:tc>
        <w:tc>
          <w:tcPr>
            <w:tcW w:type="dxa" w:w="1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Estimated Effort</w:t>
            </w:r>
          </w:p>
        </w:tc>
        <w:tc>
          <w:tcPr>
            <w:tcW w:type="dxa" w:w="46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Deliverables</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1</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Data Model &amp; Security</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3-4 hours</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Custom fields on Account, Contact, Opportunity. Initiative__c custom object and all fields. Account Record Types (Large / Small Organisation). Opportunity Record Type (Grant Opportunity). Stage picklist reconfigured. Profiles for both personas. Field-Level Security configured.</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Page Layouts &amp; UX</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2-3 hours</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Shared Account page layout built and assigned to both Record Types. Contact page layout. Opportunity (Grant) page layout. Initiative__c page layout. Related lists configured and ordered on all objects.</w:t>
            </w:r>
          </w:p>
        </w:tc>
      </w:tr>
      <w:tr>
        <w:tc>
          <w:tcPr>
            <w:tcW w:type="dxa" w:w="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w:t>
            </w:r>
          </w:p>
        </w:tc>
        <w:tc>
          <w:tcPr>
            <w:tcW w:type="dxa" w:w="22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Validation Rules &amp; Flows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3-4 hours</w:t>
            </w:r>
          </w:p>
        </w:tc>
        <w:tc>
          <w:tcPr>
            <w:tcW w:type="dxa" w:w="46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Four Validation Rules built and tested. Four Flows built in Flow Builder and tested with sample data before activation.</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Reports &amp; Dashboards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2-3 hours</w:t>
            </w:r>
          </w:p>
        </w:tc>
        <w:tc>
          <w:tcPr>
            <w:tcW w:type="dxa" w:w="46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Six Fundraising Manager reports. Four Researcher reports. Fundraising Manager Dashboard with six components. Sample data created to populate the dashboard meaningfully.</w:t>
            </w:r>
          </w:p>
        </w:tc>
      </w:tr>
    </w:tbl>
    <w:p>
      <w:pPr>
        <w:spacing w:before="60" w:after="60"/>
      </w:pPr>
    </w:p>
    <w:p>
      <w:pPr>
        <w:spacing w:before="60" w:after="100"/>
      </w:pPr>
      <w:r>
        <w:rPr>
          <w:rFonts w:ascii="Arial" w:cs="Arial" w:eastAsia="Arial" w:hAnsi="Arial"/>
          <w:sz w:val="22"/>
          <w:szCs w:val="22"/>
        </w:rPr>
        <w:t xml:space="preserve">Total estimated build time in a Developer Edition org: 11 to 14 hours.</w:t>
      </w:r>
    </w:p>
    <w:p>
      <w:pPr>
        <w:spacing w:before="60" w:after="60"/>
      </w:pPr>
    </w:p>
    <w:p>
      <w:pPr>
        <w:pStyle w:val="Heading2"/>
        <w:spacing w:before="280" w:after="100"/>
      </w:pPr>
      <w:r>
        <w:rPr>
          <w:rFonts w:ascii="Arial" w:cs="Arial" w:eastAsia="Arial" w:hAnsi="Arial"/>
          <w:b/>
          <w:bCs/>
          <w:color w:val="2E75B6"/>
          <w:sz w:val="26"/>
          <w:szCs w:val="26"/>
        </w:rPr>
        <w:t xml:space="preserve">9.1 Sample Data for Demonstration</w:t>
      </w:r>
    </w:p>
    <w:p>
      <w:pPr>
        <w:pStyle w:val="ListParagraph"/>
        <w:numPr>
          <w:ilvl w:val="0"/>
          <w:numId w:val="2"/>
        </w:numPr>
        <w:spacing w:before="40" w:after="40"/>
      </w:pPr>
      <w:r>
        <w:rPr>
          <w:rFonts w:ascii="Arial" w:cs="Arial" w:eastAsia="Arial" w:hAnsi="Arial"/>
          <w:sz w:val="22"/>
          <w:szCs w:val="22"/>
        </w:rPr>
        <w:t xml:space="preserve">Three Account records using the Large Organisation Record Type — a District Council, a Housing Association, and a grant-making local authority — each with political and officer notes, departments, and geographic scope populated</w:t>
      </w:r>
    </w:p>
    <w:p>
      <w:pPr>
        <w:pStyle w:val="ListParagraph"/>
        <w:numPr>
          <w:ilvl w:val="0"/>
          <w:numId w:val="2"/>
        </w:numPr>
        <w:spacing w:before="40" w:after="40"/>
      </w:pPr>
      <w:r>
        <w:rPr>
          <w:rFonts w:ascii="Arial" w:cs="Arial" w:eastAsia="Arial" w:hAnsi="Arial"/>
          <w:sz w:val="22"/>
          <w:szCs w:val="22"/>
        </w:rPr>
        <w:t xml:space="preserve">Two Account records using the Small Organisation Record Type — a local charity (Referral Agent) and a small community group</w:t>
      </w:r>
    </w:p>
    <w:p>
      <w:pPr>
        <w:pStyle w:val="ListParagraph"/>
        <w:numPr>
          <w:ilvl w:val="0"/>
          <w:numId w:val="2"/>
        </w:numPr>
        <w:spacing w:before="40" w:after="40"/>
      </w:pPr>
      <w:r>
        <w:rPr>
          <w:rFonts w:ascii="Arial" w:cs="Arial" w:eastAsia="Arial" w:hAnsi="Arial"/>
          <w:sz w:val="22"/>
          <w:szCs w:val="22"/>
        </w:rPr>
        <w:t xml:space="preserve">Six to eight Contact records across the Accounts — at least two marked as Decision Maker, a mix of Contact Types and Seniority Levels, varied Last Interaction Dates to trigger the stale contact report</w:t>
      </w:r>
    </w:p>
    <w:p>
      <w:pPr>
        <w:pStyle w:val="ListParagraph"/>
        <w:numPr>
          <w:ilvl w:val="0"/>
          <w:numId w:val="2"/>
        </w:numPr>
        <w:spacing w:before="40" w:after="40"/>
      </w:pPr>
      <w:r>
        <w:rPr>
          <w:rFonts w:ascii="Arial" w:cs="Arial" w:eastAsia="Arial" w:hAnsi="Arial"/>
          <w:sz w:val="22"/>
          <w:szCs w:val="22"/>
        </w:rPr>
        <w:t xml:space="preserve">Five Grant Opportunity records at different stages — Identified, Application In Progress (deadline within 3 days to trigger the alert Flow), Submitted (with Submitted Date), Awarded, and Declined</w:t>
      </w:r>
    </w:p>
    <w:p>
      <w:pPr>
        <w:pStyle w:val="ListParagraph"/>
        <w:numPr>
          <w:ilvl w:val="0"/>
          <w:numId w:val="2"/>
        </w:numPr>
        <w:spacing w:before="40" w:after="40"/>
      </w:pPr>
      <w:r>
        <w:rPr>
          <w:rFonts w:ascii="Arial" w:cs="Arial" w:eastAsia="Arial" w:hAnsi="Arial"/>
          <w:sz w:val="22"/>
          <w:szCs w:val="22"/>
        </w:rPr>
        <w:t xml:space="preserve">Four Initiative__c records linked to large organisation Accounts — different Timescale Categories, Lead Types, and at least one linked to a Grant Opportunity</w:t>
      </w:r>
    </w:p>
    <w:p>
      <w:pPr>
        <w:pStyle w:val="ListParagraph"/>
        <w:numPr>
          <w:ilvl w:val="0"/>
          <w:numId w:val="2"/>
        </w:numPr>
        <w:spacing w:before="40" w:after="40"/>
      </w:pPr>
      <w:r>
        <w:rPr>
          <w:rFonts w:ascii="Arial" w:cs="Arial" w:eastAsia="Arial" w:hAnsi="Arial"/>
          <w:sz w:val="22"/>
          <w:szCs w:val="22"/>
        </w:rPr>
        <w:t xml:space="preserve">A mix of completed Tasks on Contacts and Accounts to populate Activity History and demonstrate the Last Interaction Date Flow</w:t>
      </w:r>
    </w:p>
    <w:p>
      <w:r>
        <w:br w:type="page"/>
      </w:r>
    </w:p>
    <w:p>
      <w:pPr>
        <w:pStyle w:val="Heading1"/>
        <w:spacing w:before="360" w:after="120"/>
      </w:pPr>
      <w:r>
        <w:rPr>
          <w:rFonts w:ascii="Arial" w:cs="Arial" w:eastAsia="Arial" w:hAnsi="Arial"/>
          <w:b/>
          <w:bCs/>
          <w:color w:val="1F4E79"/>
          <w:sz w:val="32"/>
          <w:szCs w:val="32"/>
        </w:rPr>
        <w:t xml:space="preserve">10. Interview Preparation — Key Design Decisions</w:t>
      </w:r>
    </w:p>
    <w:p>
      <w:pPr>
        <w:pBdr>
          <w:bottom w:val="single" w:color="2E75B6" w:sz="4" w:space="1"/>
        </w:pBdr>
        <w:spacing w:before="40" w:after="40"/>
      </w:pPr>
    </w:p>
    <w:p>
      <w:pPr>
        <w:spacing w:before="60" w:after="60"/>
      </w:pPr>
    </w:p>
    <w:p>
      <w:pPr>
        <w:spacing w:before="60" w:after="100"/>
      </w:pPr>
      <w:r>
        <w:rPr>
          <w:rFonts w:ascii="Arial" w:cs="Arial" w:eastAsia="Arial" w:hAnsi="Arial"/>
          <w:sz w:val="22"/>
          <w:szCs w:val="22"/>
        </w:rPr>
        <w:t xml:space="preserve">This section prepares you to explain the design decisions in this document confidently. Each question is one a hiring manager is likely to ask, followed by a model answer.</w:t>
      </w:r>
    </w:p>
    <w:p>
      <w:pPr>
        <w:spacing w:before="60" w:after="6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3400"/>
        <w:gridCol w:w="5800"/>
      </w:tblGrid>
      <w:tr>
        <w:trPr>
          <w:tblHeader/>
        </w:trPr>
        <w:tc>
          <w:tcPr>
            <w:tcW w:type="dxa" w:w="34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Question</w:t>
            </w:r>
          </w:p>
        </w:tc>
        <w:tc>
          <w:tcPr>
            <w:tcW w:type="dxa" w:w="5800"/>
            <w:tcBorders>
              <w:top w:val="single" w:color="CCCCCC" w:sz="1"/>
              <w:left w:val="single" w:color="CCCCCC" w:sz="1"/>
              <w:bottom w:val="single" w:color="CCCCCC" w:sz="1"/>
              <w:right w:val="single" w:color="CCCCCC" w:sz="1"/>
            </w:tcBorders>
            <w:shd w:fill="2E75B6" w:val="clear"/>
            <w:tcMar>
              <w:top w:type="dxa" w:w="100"/>
              <w:left w:type="dxa" w:w="140"/>
              <w:bottom w:type="dxa" w:w="100"/>
              <w:right w:type="dxa" w:w="140"/>
            </w:tcMar>
          </w:tcPr>
          <w:p>
            <w:r>
              <w:rPr>
                <w:rFonts w:ascii="Arial" w:cs="Arial" w:eastAsia="Arial" w:hAnsi="Arial"/>
                <w:b/>
                <w:bCs/>
                <w:color w:val="FFFFFF"/>
                <w:sz w:val="20"/>
                <w:szCs w:val="20"/>
              </w:rPr>
              <w:t xml:space="preserve">Model Answer</w:t>
            </w:r>
          </w:p>
        </w:tc>
      </w:tr>
      <w:tr>
        <w:tc>
          <w:tcPr>
            <w:tcW w:type="dxa" w:w="3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Why did you use Opportunity for grants rather than building a custom object?</w:t>
            </w:r>
          </w:p>
        </w:tc>
        <w:tc>
          <w:tcPr>
            <w:tcW w:type="dxa" w:w="5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Opportunity already has everything the grant tracking requirement needs: a Stage pipeline, Close Date, Amount, Contact Roles, Kanban view, and deep reporting integration. If I built a custom Grant object I would be recreating all of that from scratch. The key admin skill is knowing when a standard object is good enough with configuration. Here it is — I just relabelled the fields and reconfigured the Stage picklist to match the grant lifecycle.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You built a custom object for Initiatives — why not use Tasks or Cases?</w:t>
            </w:r>
          </w:p>
        </w:tc>
        <w:tc>
          <w:tcPr>
            <w:tcW w:type="dxa" w:w="5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I looked at every standard object first. Tasks are for interactions and follow-up actions — they have no concept of timescale category or lead type. Cases are for support issues. Campaign is for outreach. None of them fit the shape of an Initiative, which is structured intelligence about what an external organisation is planning. That is a genuinely unique data requirement with no standard home — so a custom object was justified, but only after exhausting all standard options.</w:t>
            </w:r>
          </w:p>
        </w:tc>
      </w:tr>
      <w:tr>
        <w:tc>
          <w:tcPr>
            <w:tcW w:type="dxa" w:w="3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Why is Initiative__c a Master-Detail to Account rather than a Lookup?</w:t>
            </w:r>
          </w:p>
        </w:tc>
        <w:tc>
          <w:tcPr>
            <w:tcW w:type="dxa" w:w="5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An Initiative without an organisation is meaningless data — it has no context or purpose outside the partner it belongs to. Master-Detail enforces that relationship and makes the Account field mandatory. It also unlocks Roll-Up Summary fields in a future phase — for example a Count of Active Initiatives on the Account that updates automatically. That is only possible with Master-Detail, not a Lookup. The cascade delete risk is managed because neither profile has delete permission on Account records.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You have two Account Record Types but only one page layout — why?</w:t>
            </w:r>
          </w:p>
        </w:tc>
        <w:tc>
          <w:tcPr>
            <w:tcW w:type="dxa" w:w="5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I created separate Record Types to support classification and future scalability, but kept a shared layout because the current data capture needs for both organisation types are largely the same. Splitting layouts would have added overhead without delivering a meaningfully different experience right now. The Record Type infrastructure is in place — if Political Structure Notes needed to become mandatory for Large Organisations only, I can split the layouts in minutes without any structural change.</w:t>
            </w:r>
          </w:p>
        </w:tc>
      </w:tr>
      <w:tr>
        <w:tc>
          <w:tcPr>
            <w:tcW w:type="dxa" w:w="3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Why are all four Flows After Save rather than Before Save?</w:t>
            </w:r>
          </w:p>
        </w:tc>
        <w:tc>
          <w:tcPr>
            <w:tcW w:type="dxa" w:w="5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All four Flows interact with a different record from the one that triggered them — they either create a Task or update a related Account. Cross-object updates and related record creation always require After Save. Before Save is the right choice only when updating a field on the record that triggered the Flow itself, because it runs in the same transaction without a separate database write. None of my Flows do that, so After Save is correct in every case.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Why are Validation Rules better than making fields required on the page layout?</w:t>
            </w:r>
          </w:p>
        </w:tc>
        <w:tc>
          <w:tcPr>
            <w:tcW w:type="dxa" w:w="580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40"/>
            </w:tcMar>
          </w:tcPr>
          <w:p>
            <w:r>
              <w:rPr>
                <w:rFonts w:ascii="Arial" w:cs="Arial" w:eastAsia="Arial" w:hAnsi="Arial"/>
                <w:b w:val="false"/>
                <w:bCs w:val="false"/>
                <w:sz w:val="20"/>
                <w:szCs w:val="20"/>
              </w:rPr>
              <w:t xml:space="preserve">A required field on a layout can be bypassed if a record is created via the API, a data loader, or an integration — the layout is simply not involved in those scenarios. A Validation Rule runs at the database level on every save regardless of how the record was created. For fields that reports and dashboards depend on — like Relationship Type and Timescale Category — I needed enforcement that could not be circumvented.</w:t>
            </w:r>
          </w:p>
        </w:tc>
      </w:tr>
      <w:tr>
        <w:tc>
          <w:tcPr>
            <w:tcW w:type="dxa" w:w="34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How would you extend this solution in a future phase?</w:t>
            </w:r>
          </w:p>
        </w:tc>
        <w:tc>
          <w:tcPr>
            <w:tcW w:type="dxa" w:w="5800"/>
            <w:tcBorders>
              <w:top w:val="single" w:color="CCCCCC" w:sz="1"/>
              <w:left w:val="single" w:color="CCCCCC" w:sz="1"/>
              <w:bottom w:val="single" w:color="CCCCCC" w:sz="1"/>
              <w:right w:val="single" w:color="CCCCCC" w:sz="1"/>
            </w:tcBorders>
            <w:shd w:fill="F2F2F2" w:val="clear"/>
            <w:tcMar>
              <w:top w:type="dxa" w:w="80"/>
              <w:left w:type="dxa" w:w="140"/>
              <w:bottom w:type="dxa" w:w="80"/>
              <w:right w:type="dxa" w:w="140"/>
            </w:tcMar>
          </w:tcPr>
          <w:p>
            <w:r>
              <w:rPr>
                <w:rFonts w:ascii="Arial" w:cs="Arial" w:eastAsia="Arial" w:hAnsi="Arial"/>
                <w:b w:val="false"/>
                <w:bCs w:val="false"/>
                <w:sz w:val="20"/>
                <w:szCs w:val="20"/>
              </w:rPr>
              <w:t xml:space="preserve">Several things I would consider: first, adding Roll-Up Summary fields on Account using the Master-Detail relationship to Initiative__c — a Count of Active Initiatives that updates automatically. Second, splitting the Account page layout into two when Large and Small Organisation requirements diverge — the Record Types are already in place. Third, a Path component on the Grant Opportunity record to make the Stage progression more visual. Fourth, Sharing Rules if the organisation grew to need more users, to control which relationship managers see which accounts.</w:t>
            </w:r>
          </w:p>
        </w:tc>
      </w:tr>
    </w:tbl>
    <w:p>
      <w:pPr>
        <w:spacing w:before="60" w:after="60"/>
      </w:pPr>
    </w:p>
    <w:p>
      <w:pPr>
        <w:spacing w:before="60" w:after="60"/>
      </w:pPr>
    </w:p>
    <w:p>
      <w:pPr>
        <w:pBdr>
          <w:bottom w:val="single" w:color="2E75B6" w:sz="4" w:space="1"/>
        </w:pBdr>
        <w:spacing w:before="40" w:after="40"/>
      </w:pPr>
    </w:p>
    <w:p>
      <w:pPr>
        <w:spacing w:before="60" w:after="60"/>
      </w:pPr>
    </w:p>
    <w:p>
      <w:pPr>
        <w:jc w:val="center"/>
      </w:pPr>
      <w:r>
        <w:rPr>
          <w:rFonts w:ascii="Arial" w:cs="Arial" w:eastAsia="Arial" w:hAnsi="Arial"/>
          <w:i/>
          <w:iCs/>
          <w:color w:val="555555"/>
          <w:sz w:val="20"/>
          <w:szCs w:val="20"/>
        </w:rPr>
        <w:t xml:space="preserve">End of Solution Design Document</w:t>
      </w:r>
    </w:p>
    <w:p>
      <w:pPr>
        <w:spacing w:before="60"/>
        <w:jc w:val="center"/>
      </w:pPr>
      <w:r>
        <w:rPr>
          <w:rFonts w:ascii="Arial" w:cs="Arial" w:eastAsia="Arial" w:hAnsi="Arial"/>
          <w:i/>
          <w:iCs/>
          <w:color w:val="555555"/>
          <w:sz w:val="20"/>
          <w:szCs w:val="20"/>
        </w:rPr>
        <w:t xml:space="preserve">Based on B2B Portal Use Case Document v1.0  |  Salesforce Developer Edition Implementation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F4E79"/>
      <w:sz w:val="32"/>
      <w:szCs w:val="32"/>
    </w:rPr>
  </w:style>
  <w:style w:type="paragraph" w:styleId="Heading2">
    <w:name w:val="Heading 2"/>
    <w:basedOn w:val="Normal"/>
    <w:next w:val="Normal"/>
    <w:qFormat/>
    <w:pPr>
      <w:spacing w:before="280" w:after="10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2026-03-20T00:20:52.286Z</dcterms:created>
  <dcterms:modified xsi:type="dcterms:W3CDTF">2026-03-20T00:20:52.287Z</dcterms:modified>
</cp:coreProperties>
</file>

<file path=docProps/custom.xml><?xml version="1.0" encoding="utf-8"?>
<Properties xmlns="http://schemas.openxmlformats.org/officeDocument/2006/custom-properties" xmlns:vt="http://schemas.openxmlformats.org/officeDocument/2006/docPropsVTypes"/>
</file>